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848142" w14:textId="77777777" w:rsidR="00621768" w:rsidRPr="005F3700" w:rsidRDefault="00621768" w:rsidP="0074657D">
      <w:pPr>
        <w:keepNext/>
        <w:spacing w:before="120" w:after="120"/>
        <w:outlineLvl w:val="0"/>
        <w:rPr>
          <w:b/>
          <w:color w:val="0D0D0D"/>
        </w:rPr>
      </w:pPr>
      <w:bookmarkStart w:id="0" w:name="_Toc98149740"/>
      <w:r w:rsidRPr="005F3700">
        <w:rPr>
          <w:b/>
          <w:color w:val="0D0D0D"/>
        </w:rPr>
        <w:t>EK:</w:t>
      </w:r>
    </w:p>
    <w:p w14:paraId="42C6CF05" w14:textId="358AD1D8" w:rsidR="00621768" w:rsidRPr="0055784D" w:rsidRDefault="009C1054" w:rsidP="0074657D">
      <w:pPr>
        <w:pStyle w:val="stBilgi"/>
        <w:spacing w:before="120" w:after="120"/>
        <w:jc w:val="center"/>
      </w:pPr>
      <w:r w:rsidRPr="005F3700">
        <w:rPr>
          <w:b/>
          <w:color w:val="0D0D0D"/>
        </w:rPr>
        <w:t>202</w:t>
      </w:r>
      <w:r w:rsidR="00936D27">
        <w:rPr>
          <w:b/>
          <w:color w:val="0D0D0D"/>
        </w:rPr>
        <w:t>5</w:t>
      </w:r>
      <w:r w:rsidRPr="005F3700">
        <w:rPr>
          <w:b/>
          <w:color w:val="0D0D0D"/>
        </w:rPr>
        <w:t>/</w:t>
      </w:r>
      <w:r w:rsidR="00F24CA9">
        <w:rPr>
          <w:b/>
          <w:color w:val="0D0D0D"/>
        </w:rPr>
        <w:t>11</w:t>
      </w:r>
      <w:r w:rsidRPr="005F3700">
        <w:rPr>
          <w:b/>
          <w:color w:val="0D0D0D"/>
        </w:rPr>
        <w:t xml:space="preserve"> SAYILI </w:t>
      </w:r>
      <w:r w:rsidR="00621768" w:rsidRPr="005F3700">
        <w:rPr>
          <w:b/>
          <w:color w:val="0D0D0D"/>
        </w:rPr>
        <w:t>İTHALATTA HAKSIZ REKABETİN ÖNLENMESİNE İLİŞKİN</w:t>
      </w:r>
      <w:r w:rsidR="00621768" w:rsidRPr="0055784D">
        <w:rPr>
          <w:b/>
          <w:color w:val="0D0D0D"/>
        </w:rPr>
        <w:t xml:space="preserve"> </w:t>
      </w:r>
      <w:r w:rsidR="00BD5FC5" w:rsidRPr="0055784D">
        <w:rPr>
          <w:b/>
          <w:color w:val="0D0D0D"/>
        </w:rPr>
        <w:t xml:space="preserve">TEBLİĞE </w:t>
      </w:r>
      <w:r w:rsidR="00621768" w:rsidRPr="0055784D">
        <w:rPr>
          <w:b/>
          <w:color w:val="0D0D0D"/>
        </w:rPr>
        <w:t>DAİR BİLGİLENDİRME RAPORU</w:t>
      </w:r>
    </w:p>
    <w:p w14:paraId="6000C084" w14:textId="77777777" w:rsidR="009053B4" w:rsidRPr="0055784D" w:rsidRDefault="005252E5" w:rsidP="004B4889">
      <w:pPr>
        <w:pStyle w:val="Balk1"/>
        <w:numPr>
          <w:ilvl w:val="0"/>
          <w:numId w:val="2"/>
        </w:numPr>
        <w:spacing w:before="120" w:after="120"/>
        <w:rPr>
          <w:rFonts w:ascii="Times New Roman" w:hAnsi="Times New Roman" w:cs="Times New Roman"/>
          <w:sz w:val="24"/>
          <w:szCs w:val="24"/>
        </w:rPr>
      </w:pPr>
      <w:r w:rsidRPr="0055784D">
        <w:rPr>
          <w:rFonts w:ascii="Times New Roman" w:hAnsi="Times New Roman" w:cs="Times New Roman"/>
          <w:sz w:val="24"/>
          <w:szCs w:val="24"/>
        </w:rPr>
        <w:t>Genel Bilgi ve İşlemler</w:t>
      </w:r>
      <w:bookmarkEnd w:id="0"/>
    </w:p>
    <w:p w14:paraId="17E66FA8" w14:textId="2B3F13C9" w:rsidR="009053B4" w:rsidRDefault="00EB7884" w:rsidP="0074657D">
      <w:pPr>
        <w:pStyle w:val="Balk2"/>
        <w:numPr>
          <w:ilvl w:val="1"/>
          <w:numId w:val="1"/>
        </w:numPr>
        <w:spacing w:before="120" w:after="120"/>
        <w:ind w:left="426"/>
        <w:rPr>
          <w:szCs w:val="24"/>
        </w:rPr>
      </w:pPr>
      <w:bookmarkStart w:id="1" w:name="_Toc98149741"/>
      <w:r w:rsidRPr="0055784D">
        <w:rPr>
          <w:szCs w:val="24"/>
        </w:rPr>
        <w:t xml:space="preserve">Kapsam </w:t>
      </w:r>
      <w:r w:rsidR="00F24CA9" w:rsidRPr="0055784D">
        <w:rPr>
          <w:szCs w:val="24"/>
        </w:rPr>
        <w:t>ve yasal dayanak</w:t>
      </w:r>
      <w:bookmarkEnd w:id="1"/>
    </w:p>
    <w:p w14:paraId="016B76CA" w14:textId="359E5EDA" w:rsidR="00B075B0" w:rsidRPr="00272D14" w:rsidRDefault="00B075B0" w:rsidP="001161E3">
      <w:pPr>
        <w:pStyle w:val="Default"/>
        <w:spacing w:before="120" w:after="120"/>
        <w:jc w:val="both"/>
        <w:rPr>
          <w:color w:val="auto"/>
        </w:rPr>
      </w:pPr>
      <w:r>
        <w:rPr>
          <w:color w:val="auto"/>
        </w:rPr>
        <w:t xml:space="preserve">(1) </w:t>
      </w:r>
      <w:r w:rsidRPr="00272D14">
        <w:rPr>
          <w:color w:val="auto"/>
        </w:rPr>
        <w:t>Bu rapor, 14/6/1989 tarihli ve 3577 sayılı İthalatta Haksız Rekabetin Önlenmesi Hakkında Kanun</w:t>
      </w:r>
      <w:r w:rsidR="00F24CA9">
        <w:rPr>
          <w:color w:val="auto"/>
        </w:rPr>
        <w:t xml:space="preserve">, </w:t>
      </w:r>
      <w:r w:rsidRPr="00272D14">
        <w:rPr>
          <w:color w:val="auto"/>
        </w:rPr>
        <w:t>20/10/1999 tarihli ve 99/13482 sayılı Bakanlar Kurulu Kararı ile yürürlüğe konulan İthalatta Haksız Rekabetin Önlenmesi Hakkında Karar</w:t>
      </w:r>
      <w:r w:rsidR="00F24CA9">
        <w:rPr>
          <w:color w:val="auto"/>
        </w:rPr>
        <w:t xml:space="preserve"> </w:t>
      </w:r>
      <w:r w:rsidRPr="00272D14">
        <w:rPr>
          <w:color w:val="auto"/>
        </w:rPr>
        <w:t xml:space="preserve">ve 30/10/1999 tarihli ve 23861 sayılı Resmî </w:t>
      </w:r>
      <w:proofErr w:type="spellStart"/>
      <w:r w:rsidRPr="00272D14">
        <w:rPr>
          <w:color w:val="auto"/>
        </w:rPr>
        <w:t>Gazete’de</w:t>
      </w:r>
      <w:proofErr w:type="spellEnd"/>
      <w:r w:rsidRPr="00272D14">
        <w:rPr>
          <w:color w:val="auto"/>
        </w:rPr>
        <w:t xml:space="preserve"> yayımlanan İthalatta Haksız Rekabetin Önlenmesi Hakkında Yönetmelik (Yönetmelik) hükümleri çerçevesinde yürütülen nihai gözden geçirme soruşturması (NGGS) sonucunda alınacak karara esas teşkil edecek bilgi ve bulguları içermektedir.</w:t>
      </w:r>
    </w:p>
    <w:p w14:paraId="4E41BA08" w14:textId="68FD32FE" w:rsidR="00D35A91" w:rsidRDefault="00117424" w:rsidP="001161E3">
      <w:pPr>
        <w:pStyle w:val="Balk2"/>
        <w:numPr>
          <w:ilvl w:val="1"/>
          <w:numId w:val="1"/>
        </w:numPr>
        <w:spacing w:before="120" w:after="120"/>
        <w:ind w:left="426"/>
        <w:jc w:val="both"/>
        <w:rPr>
          <w:szCs w:val="24"/>
        </w:rPr>
      </w:pPr>
      <w:bookmarkStart w:id="2" w:name="_Toc98149742"/>
      <w:r w:rsidRPr="0055784D">
        <w:rPr>
          <w:szCs w:val="24"/>
        </w:rPr>
        <w:t xml:space="preserve">Mevcut </w:t>
      </w:r>
      <w:r w:rsidR="006F1A7B" w:rsidRPr="0055784D">
        <w:rPr>
          <w:szCs w:val="24"/>
        </w:rPr>
        <w:t>önlem ve geçmişi</w:t>
      </w:r>
      <w:bookmarkEnd w:id="2"/>
    </w:p>
    <w:p w14:paraId="1D48ACAE" w14:textId="26E55839" w:rsidR="00936D27" w:rsidRPr="007C588C" w:rsidRDefault="00936D27" w:rsidP="004B4889">
      <w:pPr>
        <w:pStyle w:val="Balk2"/>
        <w:numPr>
          <w:ilvl w:val="0"/>
          <w:numId w:val="15"/>
        </w:numPr>
        <w:spacing w:before="120" w:after="120"/>
        <w:jc w:val="both"/>
        <w:rPr>
          <w:rFonts w:eastAsia="Times New Roman" w:cs="Times New Roman"/>
          <w:b w:val="0"/>
          <w:szCs w:val="24"/>
        </w:rPr>
      </w:pPr>
      <w:bookmarkStart w:id="3" w:name="_Toc188521946"/>
      <w:bookmarkStart w:id="4" w:name="_Toc98149743"/>
      <w:r w:rsidRPr="007C588C">
        <w:rPr>
          <w:rFonts w:eastAsia="Times New Roman" w:cs="Times New Roman"/>
          <w:b w:val="0"/>
          <w:szCs w:val="24"/>
        </w:rPr>
        <w:t xml:space="preserve">Çin Halk Cumhuriyeti (ÇHC) menşeli 55.13, 55.14, 55.15 ve 55.16 </w:t>
      </w:r>
      <w:proofErr w:type="spellStart"/>
      <w:r w:rsidRPr="007C588C">
        <w:rPr>
          <w:rFonts w:eastAsia="Times New Roman" w:cs="Times New Roman"/>
          <w:b w:val="0"/>
          <w:szCs w:val="24"/>
        </w:rPr>
        <w:t>GTP’leri</w:t>
      </w:r>
      <w:proofErr w:type="spellEnd"/>
      <w:r w:rsidRPr="007C588C">
        <w:rPr>
          <w:rFonts w:eastAsia="Times New Roman" w:cs="Times New Roman"/>
          <w:b w:val="0"/>
          <w:szCs w:val="24"/>
        </w:rPr>
        <w:t xml:space="preserve"> altında sınıflandırılan “sentetik veya suni devamsız liflerden dokunmuş mensucat” ithalatına yönelik olarak 15/2/2001 tarihli ve 24319 sayılı Resmî </w:t>
      </w:r>
      <w:proofErr w:type="spellStart"/>
      <w:r w:rsidRPr="007C588C">
        <w:rPr>
          <w:rFonts w:eastAsia="Times New Roman" w:cs="Times New Roman"/>
          <w:b w:val="0"/>
          <w:szCs w:val="24"/>
        </w:rPr>
        <w:t>Gazete’de</w:t>
      </w:r>
      <w:proofErr w:type="spellEnd"/>
      <w:r w:rsidRPr="007C588C">
        <w:rPr>
          <w:rFonts w:eastAsia="Times New Roman" w:cs="Times New Roman"/>
          <w:b w:val="0"/>
          <w:szCs w:val="24"/>
        </w:rPr>
        <w:t xml:space="preserve"> yayımlanan İthalatta Haksız Rekabetin Önlenmesine İlişkin Tebliğ (2001/2) ile sonuçlandırılan esas soruşturma kapsamında CIF bedelin %87’si oranında dampinge karşı önlem yürürlüğe konulmuştur.</w:t>
      </w:r>
      <w:bookmarkEnd w:id="3"/>
    </w:p>
    <w:p w14:paraId="2398283B" w14:textId="17EAABE7" w:rsidR="008F699F" w:rsidRDefault="00936D27" w:rsidP="002A10D2">
      <w:pPr>
        <w:pStyle w:val="Balk2"/>
        <w:numPr>
          <w:ilvl w:val="0"/>
          <w:numId w:val="15"/>
        </w:numPr>
        <w:spacing w:before="120" w:after="120"/>
        <w:jc w:val="both"/>
        <w:rPr>
          <w:rFonts w:eastAsia="Times New Roman" w:cs="Times New Roman"/>
          <w:b w:val="0"/>
          <w:szCs w:val="24"/>
        </w:rPr>
      </w:pPr>
      <w:bookmarkStart w:id="5" w:name="_Toc188521947"/>
      <w:r w:rsidRPr="007C588C">
        <w:rPr>
          <w:rFonts w:eastAsia="Times New Roman" w:cs="Times New Roman"/>
          <w:b w:val="0"/>
          <w:szCs w:val="24"/>
        </w:rPr>
        <w:t xml:space="preserve">Söz konusu önleme ilişkin yürütülen ilk NGGS 19/6/2007 tarihli ve 26557 sayılı Resmî </w:t>
      </w:r>
      <w:proofErr w:type="spellStart"/>
      <w:r w:rsidRPr="007C588C">
        <w:rPr>
          <w:rFonts w:eastAsia="Times New Roman" w:cs="Times New Roman"/>
          <w:b w:val="0"/>
          <w:szCs w:val="24"/>
        </w:rPr>
        <w:t>Gazete’de</w:t>
      </w:r>
      <w:proofErr w:type="spellEnd"/>
      <w:r w:rsidRPr="007C588C">
        <w:rPr>
          <w:rFonts w:eastAsia="Times New Roman" w:cs="Times New Roman"/>
          <w:b w:val="0"/>
          <w:szCs w:val="24"/>
        </w:rPr>
        <w:t xml:space="preserve"> yayımlanan İthalatta Haksız Rekabetin Önlenmesine İlişkin Tebliğ (2007/10) </w:t>
      </w:r>
      <w:r w:rsidR="00A37BA5" w:rsidRPr="007C588C">
        <w:rPr>
          <w:rFonts w:eastAsia="Times New Roman" w:cs="Times New Roman"/>
          <w:b w:val="0"/>
          <w:szCs w:val="24"/>
        </w:rPr>
        <w:t>ile</w:t>
      </w:r>
      <w:r w:rsidR="008F699F">
        <w:rPr>
          <w:rFonts w:eastAsia="Times New Roman" w:cs="Times New Roman"/>
          <w:b w:val="0"/>
          <w:szCs w:val="24"/>
        </w:rPr>
        <w:t xml:space="preserve"> </w:t>
      </w:r>
      <w:r w:rsidR="008F699F" w:rsidRPr="002A10D2">
        <w:rPr>
          <w:rFonts w:eastAsia="Times New Roman" w:cs="Times New Roman"/>
          <w:b w:val="0"/>
          <w:szCs w:val="24"/>
        </w:rPr>
        <w:t>sonuçlandırılmış olup anılan soruşturma sonucunda dampinge karşı önlemin aynen devamına karar verilmiştir.</w:t>
      </w:r>
      <w:r w:rsidR="008F699F">
        <w:rPr>
          <w:rFonts w:eastAsia="Times New Roman" w:cs="Times New Roman"/>
          <w:b w:val="0"/>
          <w:szCs w:val="24"/>
        </w:rPr>
        <w:t xml:space="preserve"> </w:t>
      </w:r>
      <w:r w:rsidRPr="007C588C">
        <w:rPr>
          <w:rFonts w:eastAsia="Times New Roman" w:cs="Times New Roman"/>
          <w:b w:val="0"/>
          <w:szCs w:val="24"/>
        </w:rPr>
        <w:t xml:space="preserve"> </w:t>
      </w:r>
      <w:bookmarkStart w:id="6" w:name="_Toc188521948"/>
      <w:bookmarkEnd w:id="5"/>
    </w:p>
    <w:p w14:paraId="1C243EB0" w14:textId="0222B074" w:rsidR="008F699F" w:rsidRDefault="008F699F" w:rsidP="002A10D2">
      <w:pPr>
        <w:pStyle w:val="Balk2"/>
        <w:numPr>
          <w:ilvl w:val="0"/>
          <w:numId w:val="15"/>
        </w:numPr>
        <w:spacing w:before="120" w:after="120"/>
        <w:jc w:val="both"/>
        <w:rPr>
          <w:rFonts w:eastAsia="Times New Roman" w:cs="Times New Roman"/>
          <w:b w:val="0"/>
          <w:szCs w:val="24"/>
        </w:rPr>
      </w:pPr>
      <w:r>
        <w:rPr>
          <w:rFonts w:eastAsia="Times New Roman" w:cs="Times New Roman"/>
          <w:b w:val="0"/>
          <w:szCs w:val="24"/>
        </w:rPr>
        <w:t>İ</w:t>
      </w:r>
      <w:r w:rsidR="00936D27" w:rsidRPr="002A10D2">
        <w:rPr>
          <w:rFonts w:eastAsia="Times New Roman" w:cs="Times New Roman"/>
          <w:b w:val="0"/>
          <w:szCs w:val="24"/>
        </w:rPr>
        <w:t xml:space="preserve">kinci NGGS 5/5/2013 tarihli ve 28638 sayılı Resmî </w:t>
      </w:r>
      <w:proofErr w:type="spellStart"/>
      <w:r w:rsidR="00936D27" w:rsidRPr="002A10D2">
        <w:rPr>
          <w:rFonts w:eastAsia="Times New Roman" w:cs="Times New Roman"/>
          <w:b w:val="0"/>
          <w:szCs w:val="24"/>
        </w:rPr>
        <w:t>Gazete’de</w:t>
      </w:r>
      <w:proofErr w:type="spellEnd"/>
      <w:r w:rsidR="00936D27" w:rsidRPr="002A10D2">
        <w:rPr>
          <w:rFonts w:eastAsia="Times New Roman" w:cs="Times New Roman"/>
          <w:b w:val="0"/>
          <w:szCs w:val="24"/>
        </w:rPr>
        <w:t xml:space="preserve"> yayımlanan İthalatta Haksız Rekabetin Önlenmesine İlişkin Tebliğ (Tebliğ No: 2013/10) ile sonuçlandırılmış olup anılan soruşturma</w:t>
      </w:r>
      <w:r w:rsidR="00F24CA9">
        <w:rPr>
          <w:rFonts w:eastAsia="Times New Roman" w:cs="Times New Roman"/>
          <w:b w:val="0"/>
          <w:szCs w:val="24"/>
        </w:rPr>
        <w:t xml:space="preserve"> </w:t>
      </w:r>
      <w:r w:rsidR="00936D27" w:rsidRPr="002A10D2">
        <w:rPr>
          <w:rFonts w:eastAsia="Times New Roman" w:cs="Times New Roman"/>
          <w:b w:val="0"/>
          <w:szCs w:val="24"/>
        </w:rPr>
        <w:t>sonucunda dampinge karşı önlemin aynen devamına karar verilmiştir.</w:t>
      </w:r>
      <w:bookmarkStart w:id="7" w:name="_Toc188521949"/>
      <w:bookmarkEnd w:id="6"/>
      <w:r w:rsidR="002A10D2">
        <w:rPr>
          <w:rFonts w:eastAsia="Times New Roman" w:cs="Times New Roman"/>
          <w:b w:val="0"/>
          <w:szCs w:val="24"/>
        </w:rPr>
        <w:t xml:space="preserve"> </w:t>
      </w:r>
    </w:p>
    <w:p w14:paraId="686D8C39" w14:textId="219778E9" w:rsidR="00936D27" w:rsidRPr="002A10D2" w:rsidRDefault="008B3110" w:rsidP="002A10D2">
      <w:pPr>
        <w:pStyle w:val="Balk2"/>
        <w:numPr>
          <w:ilvl w:val="0"/>
          <w:numId w:val="15"/>
        </w:numPr>
        <w:spacing w:before="120" w:after="120"/>
        <w:jc w:val="both"/>
        <w:rPr>
          <w:rFonts w:eastAsia="Times New Roman" w:cs="Times New Roman"/>
          <w:b w:val="0"/>
          <w:szCs w:val="24"/>
        </w:rPr>
      </w:pPr>
      <w:r w:rsidRPr="002A10D2">
        <w:rPr>
          <w:rFonts w:eastAsia="Times New Roman" w:cs="Times New Roman"/>
          <w:b w:val="0"/>
          <w:szCs w:val="24"/>
        </w:rPr>
        <w:t>Üçüncü NGG</w:t>
      </w:r>
      <w:r w:rsidR="00936D27" w:rsidRPr="002A10D2">
        <w:rPr>
          <w:rFonts w:eastAsia="Times New Roman" w:cs="Times New Roman"/>
          <w:b w:val="0"/>
          <w:szCs w:val="24"/>
        </w:rPr>
        <w:t>S ise 31/12/2018 tarihli ve 30642</w:t>
      </w:r>
      <w:r w:rsidR="0040748D">
        <w:rPr>
          <w:rFonts w:eastAsia="Times New Roman" w:cs="Times New Roman"/>
          <w:b w:val="0"/>
          <w:szCs w:val="24"/>
        </w:rPr>
        <w:t xml:space="preserve"> </w:t>
      </w:r>
      <w:r w:rsidR="00936D27" w:rsidRPr="002A10D2">
        <w:rPr>
          <w:rFonts w:eastAsia="Times New Roman" w:cs="Times New Roman"/>
          <w:b w:val="0"/>
          <w:szCs w:val="24"/>
        </w:rPr>
        <w:t>dördüncü mükerrer</w:t>
      </w:r>
      <w:r w:rsidR="0040748D">
        <w:rPr>
          <w:rFonts w:eastAsia="Times New Roman" w:cs="Times New Roman"/>
          <w:b w:val="0"/>
          <w:szCs w:val="24"/>
        </w:rPr>
        <w:t xml:space="preserve"> </w:t>
      </w:r>
      <w:r w:rsidR="00936D27" w:rsidRPr="002A10D2">
        <w:rPr>
          <w:rFonts w:eastAsia="Times New Roman" w:cs="Times New Roman"/>
          <w:b w:val="0"/>
          <w:szCs w:val="24"/>
        </w:rPr>
        <w:t xml:space="preserve">sayılı Resmî </w:t>
      </w:r>
      <w:proofErr w:type="spellStart"/>
      <w:r w:rsidR="00936D27" w:rsidRPr="002A10D2">
        <w:rPr>
          <w:rFonts w:eastAsia="Times New Roman" w:cs="Times New Roman"/>
          <w:b w:val="0"/>
          <w:szCs w:val="24"/>
        </w:rPr>
        <w:t>Gazete’de</w:t>
      </w:r>
      <w:proofErr w:type="spellEnd"/>
      <w:r w:rsidR="00936D27" w:rsidRPr="002A10D2">
        <w:rPr>
          <w:rFonts w:eastAsia="Times New Roman" w:cs="Times New Roman"/>
          <w:b w:val="0"/>
          <w:szCs w:val="24"/>
        </w:rPr>
        <w:t xml:space="preserve"> yayımlanan İthalatta Haksız Rekabetin Önlenmesine İlişkin Tebliğ (Tebliğ No: 2019/4) ile sonuçlandırılmış olup dampinge karşı önlemin değiştirilerek CIF bedelin %44’ü oranında uygulanmaya devam edilmesine karar verilmiştir.</w:t>
      </w:r>
      <w:bookmarkEnd w:id="7"/>
    </w:p>
    <w:p w14:paraId="45E4356F" w14:textId="51FB65F7" w:rsidR="004A19B7" w:rsidRPr="0055784D" w:rsidRDefault="004A19B7" w:rsidP="001161E3">
      <w:pPr>
        <w:pStyle w:val="Balk2"/>
        <w:numPr>
          <w:ilvl w:val="1"/>
          <w:numId w:val="1"/>
        </w:numPr>
        <w:spacing w:before="120" w:after="120"/>
        <w:ind w:left="426"/>
        <w:rPr>
          <w:szCs w:val="24"/>
        </w:rPr>
      </w:pPr>
      <w:r w:rsidRPr="0055784D">
        <w:rPr>
          <w:szCs w:val="24"/>
        </w:rPr>
        <w:t>Soruşturma</w:t>
      </w:r>
      <w:bookmarkEnd w:id="4"/>
    </w:p>
    <w:p w14:paraId="3626CFBA" w14:textId="58529F23" w:rsidR="00E21C94" w:rsidRPr="007C588C" w:rsidRDefault="00E21C94" w:rsidP="004B4889">
      <w:pPr>
        <w:pStyle w:val="Default"/>
        <w:numPr>
          <w:ilvl w:val="0"/>
          <w:numId w:val="16"/>
        </w:numPr>
        <w:spacing w:before="120" w:after="120"/>
        <w:ind w:left="0" w:firstLine="0"/>
        <w:jc w:val="both"/>
        <w:rPr>
          <w:color w:val="auto"/>
        </w:rPr>
      </w:pPr>
      <w:bookmarkStart w:id="8" w:name="_Toc98149744"/>
      <w:r w:rsidRPr="007C588C">
        <w:rPr>
          <w:color w:val="auto"/>
        </w:rPr>
        <w:t xml:space="preserve">Yönetmeliğin 35 inci maddesinin ikinci fıkrası hükmünce, 27/1/2023 tarihli ve 32086 sayılı Resmî </w:t>
      </w:r>
      <w:proofErr w:type="spellStart"/>
      <w:r w:rsidRPr="007C588C">
        <w:rPr>
          <w:color w:val="auto"/>
        </w:rPr>
        <w:t>Gazete’de</w:t>
      </w:r>
      <w:proofErr w:type="spellEnd"/>
      <w:r w:rsidRPr="007C588C">
        <w:rPr>
          <w:color w:val="auto"/>
        </w:rPr>
        <w:t xml:space="preserve"> yayımlanan İthalatta Haksız Rekabetin Önlenmesine İlişkin Tebliğ (Tebliğ No: 2023/6) ile mevcut önle</w:t>
      </w:r>
      <w:r w:rsidR="00756312">
        <w:rPr>
          <w:color w:val="auto"/>
        </w:rPr>
        <w:t>m</w:t>
      </w:r>
      <w:r w:rsidR="00B14E74">
        <w:rPr>
          <w:color w:val="auto"/>
        </w:rPr>
        <w:t>lerin</w:t>
      </w:r>
      <w:r w:rsidR="00756312">
        <w:rPr>
          <w:color w:val="auto"/>
        </w:rPr>
        <w:t xml:space="preserve"> yürürlükte kalma </w:t>
      </w:r>
      <w:r w:rsidR="00B14E74">
        <w:rPr>
          <w:color w:val="auto"/>
        </w:rPr>
        <w:t xml:space="preserve">sürelerinin </w:t>
      </w:r>
      <w:r w:rsidRPr="007C588C">
        <w:rPr>
          <w:color w:val="auto"/>
        </w:rPr>
        <w:t xml:space="preserve">sona ereceği ilan edilmiştir. </w:t>
      </w:r>
      <w:r w:rsidR="00B14E74">
        <w:rPr>
          <w:color w:val="auto"/>
        </w:rPr>
        <w:t xml:space="preserve">İlgili ürünün yerli üreticileri tarafından mevzuatta öngörülen süreler içinde, önlemin sona ermesinin damping veya zararın devam etmesine veya yeniden meydana gelmesine yol </w:t>
      </w:r>
      <w:proofErr w:type="gramStart"/>
      <w:r w:rsidR="00B14E74">
        <w:rPr>
          <w:color w:val="auto"/>
        </w:rPr>
        <w:t>açacağı</w:t>
      </w:r>
      <w:proofErr w:type="gramEnd"/>
      <w:r w:rsidR="00B14E74">
        <w:rPr>
          <w:color w:val="auto"/>
        </w:rPr>
        <w:t xml:space="preserve"> iddiasını içeren yeterli delillerle </w:t>
      </w:r>
      <w:r w:rsidRPr="007C588C">
        <w:rPr>
          <w:color w:val="auto"/>
        </w:rPr>
        <w:t>desteklenmiş bir başvuru ile NGGS açılması talebinde bulunabilecekleri duyurulmuştur.</w:t>
      </w:r>
    </w:p>
    <w:p w14:paraId="09FBE79E" w14:textId="57167007" w:rsidR="00E21C94" w:rsidRPr="007C588C" w:rsidRDefault="00E21C94" w:rsidP="004B4889">
      <w:pPr>
        <w:pStyle w:val="ListeParagraf"/>
        <w:numPr>
          <w:ilvl w:val="0"/>
          <w:numId w:val="17"/>
        </w:numPr>
        <w:shd w:val="clear" w:color="auto" w:fill="FFFFFF"/>
        <w:tabs>
          <w:tab w:val="left" w:pos="567"/>
          <w:tab w:val="left" w:pos="851"/>
        </w:tabs>
        <w:jc w:val="both"/>
        <w:rPr>
          <w:bCs/>
        </w:rPr>
      </w:pPr>
      <w:r w:rsidRPr="007C588C">
        <w:rPr>
          <w:lang w:eastAsia="tr-TR"/>
        </w:rPr>
        <w:t xml:space="preserve">Bu çerçevede, </w:t>
      </w:r>
      <w:r w:rsidRPr="007C588C">
        <w:t>Bakırlar Tekstil San. ve Tic. A.Ş. (Bakırlar)</w:t>
      </w:r>
      <w:r w:rsidRPr="007C588C">
        <w:rPr>
          <w:lang w:eastAsia="tr-TR"/>
        </w:rPr>
        <w:t xml:space="preserve">, </w:t>
      </w:r>
      <w:r w:rsidRPr="007C588C">
        <w:t>Kıvanç Tekstil San. ve Tic. A.Ş. (Kıvanç)</w:t>
      </w:r>
      <w:r w:rsidRPr="007C588C">
        <w:rPr>
          <w:lang w:eastAsia="tr-TR"/>
        </w:rPr>
        <w:t xml:space="preserve">, </w:t>
      </w:r>
      <w:proofErr w:type="spellStart"/>
      <w:r w:rsidRPr="007C588C">
        <w:t>Kimteks</w:t>
      </w:r>
      <w:proofErr w:type="spellEnd"/>
      <w:r w:rsidRPr="007C588C">
        <w:t xml:space="preserve"> Tekstil İnşaat Tic. ve San. A.Ş. (</w:t>
      </w:r>
      <w:proofErr w:type="spellStart"/>
      <w:r w:rsidRPr="007C588C">
        <w:t>Kimteks</w:t>
      </w:r>
      <w:proofErr w:type="spellEnd"/>
      <w:r w:rsidRPr="007C588C">
        <w:t>)</w:t>
      </w:r>
      <w:r w:rsidRPr="007C588C">
        <w:rPr>
          <w:lang w:eastAsia="tr-TR"/>
        </w:rPr>
        <w:t xml:space="preserve">, </w:t>
      </w:r>
      <w:r w:rsidRPr="007C588C">
        <w:t>Oğuz Tekstil San. ve Tic. A.Ş.</w:t>
      </w:r>
      <w:r w:rsidRPr="007C588C">
        <w:rPr>
          <w:lang w:eastAsia="tr-TR"/>
        </w:rPr>
        <w:t xml:space="preserve"> (Oğuz) ve </w:t>
      </w:r>
      <w:proofErr w:type="spellStart"/>
      <w:r w:rsidRPr="007C588C">
        <w:t>Uğurteks</w:t>
      </w:r>
      <w:proofErr w:type="spellEnd"/>
      <w:r w:rsidRPr="007C588C">
        <w:t xml:space="preserve"> Tekstil Ürünleri Tic. ve San. A.Ş. (</w:t>
      </w:r>
      <w:proofErr w:type="spellStart"/>
      <w:r w:rsidRPr="007C588C">
        <w:t>Uğurteks</w:t>
      </w:r>
      <w:proofErr w:type="spellEnd"/>
      <w:r w:rsidRPr="007C588C">
        <w:t>)</w:t>
      </w:r>
      <w:r w:rsidRPr="007C588C">
        <w:rPr>
          <w:lang w:eastAsia="tr-TR"/>
        </w:rPr>
        <w:t xml:space="preserve"> firmaları ÇHC menşeli “sentetik veya suni devamsız liflerden dokunmuş mensucat” ithalatına karşı NGGS açılması başvurusunda bulunmuştur. Söz konusu başvuru </w:t>
      </w:r>
      <w:proofErr w:type="spellStart"/>
      <w:r w:rsidRPr="007C588C">
        <w:rPr>
          <w:lang w:eastAsia="tr-TR"/>
        </w:rPr>
        <w:t>Arseteks</w:t>
      </w:r>
      <w:proofErr w:type="spellEnd"/>
      <w:r w:rsidRPr="007C588C">
        <w:rPr>
          <w:lang w:eastAsia="tr-TR"/>
        </w:rPr>
        <w:t xml:space="preserve"> Tekstil Tarım Kimya San. ve Paz. Ltd. Şti., </w:t>
      </w:r>
      <w:r w:rsidRPr="007C588C">
        <w:rPr>
          <w:bCs/>
        </w:rPr>
        <w:t>B</w:t>
      </w:r>
      <w:r w:rsidR="00B14E74">
        <w:rPr>
          <w:bCs/>
        </w:rPr>
        <w:t>TD</w:t>
      </w:r>
      <w:r w:rsidRPr="007C588C">
        <w:rPr>
          <w:bCs/>
        </w:rPr>
        <w:t xml:space="preserve"> Tekstil San. ve Tic. A.Ş.</w:t>
      </w:r>
      <w:r w:rsidRPr="007C588C">
        <w:rPr>
          <w:lang w:eastAsia="tr-TR"/>
        </w:rPr>
        <w:t xml:space="preserve">, </w:t>
      </w:r>
      <w:proofErr w:type="spellStart"/>
      <w:r w:rsidRPr="007C588C">
        <w:rPr>
          <w:bCs/>
        </w:rPr>
        <w:t>Kipaş</w:t>
      </w:r>
      <w:proofErr w:type="spellEnd"/>
      <w:r w:rsidRPr="007C588C">
        <w:rPr>
          <w:bCs/>
        </w:rPr>
        <w:t xml:space="preserve"> Mensucat İşletmeleri A.Ş.</w:t>
      </w:r>
      <w:r w:rsidRPr="007C588C">
        <w:rPr>
          <w:lang w:eastAsia="tr-TR"/>
        </w:rPr>
        <w:t xml:space="preserve">, </w:t>
      </w:r>
      <w:proofErr w:type="spellStart"/>
      <w:r w:rsidRPr="007C588C">
        <w:rPr>
          <w:bCs/>
        </w:rPr>
        <w:t>Meteks</w:t>
      </w:r>
      <w:proofErr w:type="spellEnd"/>
      <w:r w:rsidRPr="007C588C">
        <w:rPr>
          <w:bCs/>
        </w:rPr>
        <w:t xml:space="preserve"> Moda Dokuma Kumaş San. ve Tic. Ltd. Şti.</w:t>
      </w:r>
      <w:r w:rsidRPr="007C588C">
        <w:rPr>
          <w:lang w:eastAsia="tr-TR"/>
        </w:rPr>
        <w:t xml:space="preserve"> ve </w:t>
      </w:r>
      <w:proofErr w:type="spellStart"/>
      <w:r w:rsidRPr="007C588C">
        <w:rPr>
          <w:lang w:eastAsia="tr-TR"/>
        </w:rPr>
        <w:t>Özdoku</w:t>
      </w:r>
      <w:proofErr w:type="spellEnd"/>
      <w:r w:rsidRPr="007C588C">
        <w:rPr>
          <w:lang w:eastAsia="tr-TR"/>
        </w:rPr>
        <w:t xml:space="preserve"> </w:t>
      </w:r>
      <w:r w:rsidRPr="007C588C">
        <w:rPr>
          <w:bCs/>
        </w:rPr>
        <w:t>Tekstil San. Tic. Ltd. Şti.</w:t>
      </w:r>
      <w:r w:rsidRPr="007C588C">
        <w:rPr>
          <w:lang w:eastAsia="tr-TR"/>
        </w:rPr>
        <w:t xml:space="preserve"> firmaları tarafından desteklenmiştir. </w:t>
      </w:r>
      <w:proofErr w:type="spellStart"/>
      <w:r w:rsidRPr="007C588C">
        <w:rPr>
          <w:bCs/>
        </w:rPr>
        <w:t>Özdoku</w:t>
      </w:r>
      <w:proofErr w:type="spellEnd"/>
      <w:r w:rsidRPr="007C588C">
        <w:rPr>
          <w:bCs/>
        </w:rPr>
        <w:t xml:space="preserve"> Tekstil San. Tic. Ltd. Şti. destek dilekçesine istinaden kendilerinden </w:t>
      </w:r>
      <w:r w:rsidRPr="007C588C">
        <w:rPr>
          <w:bCs/>
        </w:rPr>
        <w:lastRenderedPageBreak/>
        <w:t>talep edilen verileri sağlamadığı için başvuruyu destekleyen firmalar kapsamında değerlendirilmemiştir</w:t>
      </w:r>
      <w:r w:rsidRPr="007C588C">
        <w:t>.</w:t>
      </w:r>
    </w:p>
    <w:p w14:paraId="698298C7" w14:textId="77777777" w:rsidR="00B14E74" w:rsidRDefault="00E21C94" w:rsidP="004B4889">
      <w:pPr>
        <w:pStyle w:val="Default"/>
        <w:numPr>
          <w:ilvl w:val="0"/>
          <w:numId w:val="16"/>
        </w:numPr>
        <w:spacing w:before="120" w:after="120"/>
        <w:ind w:left="0" w:firstLine="0"/>
        <w:jc w:val="both"/>
        <w:rPr>
          <w:color w:val="auto"/>
        </w:rPr>
      </w:pPr>
      <w:r w:rsidRPr="007C588C">
        <w:rPr>
          <w:color w:val="auto"/>
        </w:rPr>
        <w:t>Başvuru kapsamında sunulan bilgi ve belgeler, İthalatta Haksız Rekabeti Değerlendirme Kurulu (Kurul) tarafından değerlendirilmiş ve bir NGGS açılmasını haklı kılacak yeterlilikte delillerin mevcudiyetine kanaat getirilmiş</w:t>
      </w:r>
      <w:r w:rsidR="00B14E74">
        <w:rPr>
          <w:color w:val="auto"/>
        </w:rPr>
        <w:t>tir.</w:t>
      </w:r>
    </w:p>
    <w:p w14:paraId="1FF15218" w14:textId="44FCFB48" w:rsidR="00E21C94" w:rsidRPr="007C588C" w:rsidRDefault="00B14E74" w:rsidP="004B4889">
      <w:pPr>
        <w:pStyle w:val="Default"/>
        <w:numPr>
          <w:ilvl w:val="0"/>
          <w:numId w:val="16"/>
        </w:numPr>
        <w:spacing w:before="120" w:after="120"/>
        <w:ind w:left="0" w:firstLine="0"/>
        <w:jc w:val="both"/>
        <w:rPr>
          <w:color w:val="auto"/>
        </w:rPr>
      </w:pPr>
      <w:r>
        <w:rPr>
          <w:color w:val="auto"/>
        </w:rPr>
        <w:t>Bu çerçevede,</w:t>
      </w:r>
      <w:r w:rsidR="00E21C94" w:rsidRPr="007C588C">
        <w:rPr>
          <w:color w:val="auto"/>
        </w:rPr>
        <w:t xml:space="preserve"> 26/12/2023 tarihli ve 32411 sayılı Resmî </w:t>
      </w:r>
      <w:proofErr w:type="spellStart"/>
      <w:r w:rsidR="00E21C94" w:rsidRPr="007C588C">
        <w:rPr>
          <w:color w:val="auto"/>
        </w:rPr>
        <w:t>Gazete’de</w:t>
      </w:r>
      <w:proofErr w:type="spellEnd"/>
      <w:r w:rsidR="00E21C94" w:rsidRPr="007C588C">
        <w:rPr>
          <w:color w:val="auto"/>
        </w:rPr>
        <w:t xml:space="preserve"> yayımlanan İthalatta Haksız Rekabetin Önlenmesine İlişkin Tebliğ (Tebliğ No: 2023/38) </w:t>
      </w:r>
      <w:r>
        <w:rPr>
          <w:color w:val="auto"/>
        </w:rPr>
        <w:t xml:space="preserve">uyarınca </w:t>
      </w:r>
      <w:r w:rsidR="00E21C94" w:rsidRPr="007C588C">
        <w:rPr>
          <w:color w:val="auto"/>
        </w:rPr>
        <w:t xml:space="preserve">ÇHC menşeli 55.13, 55.14, 55.15 ve 55.16 </w:t>
      </w:r>
      <w:proofErr w:type="spellStart"/>
      <w:r w:rsidR="00F8198C">
        <w:rPr>
          <w:color w:val="auto"/>
        </w:rPr>
        <w:t>GTP’leri</w:t>
      </w:r>
      <w:proofErr w:type="spellEnd"/>
      <w:r w:rsidR="00E21C94" w:rsidRPr="007C588C">
        <w:rPr>
          <w:color w:val="auto"/>
        </w:rPr>
        <w:t xml:space="preserve"> altında sınıflandırılan “sentetik veya suni devamsız liflerden dokunmuş mensucat” ürününün ithalatına yönelik bir NGGS açılmıştır.</w:t>
      </w:r>
    </w:p>
    <w:p w14:paraId="07E73751" w14:textId="3404E045" w:rsidR="00E21C94" w:rsidRPr="007C588C" w:rsidRDefault="00E21C94" w:rsidP="004B4889">
      <w:pPr>
        <w:pStyle w:val="Default"/>
        <w:numPr>
          <w:ilvl w:val="0"/>
          <w:numId w:val="16"/>
        </w:numPr>
        <w:spacing w:before="120"/>
        <w:ind w:left="0" w:firstLine="0"/>
        <w:jc w:val="both"/>
        <w:rPr>
          <w:color w:val="auto"/>
          <w:lang w:eastAsia="en-US"/>
        </w:rPr>
      </w:pPr>
      <w:r w:rsidRPr="007C588C">
        <w:rPr>
          <w:color w:val="auto"/>
          <w:lang w:eastAsia="en-US"/>
        </w:rPr>
        <w:t xml:space="preserve">T.C. Ticaret Bakanlığı (Bakanlık) İthalat Genel Müdürlüğü (Genel Müdürlük) tarafından yürütülen </w:t>
      </w:r>
      <w:r>
        <w:rPr>
          <w:color w:val="auto"/>
          <w:lang w:eastAsia="en-US"/>
        </w:rPr>
        <w:t>NGGS tamamlanmıştır.</w:t>
      </w:r>
    </w:p>
    <w:p w14:paraId="42A5E10F" w14:textId="452EE2BD" w:rsidR="00BD39DF" w:rsidRDefault="00BD39DF" w:rsidP="001161E3">
      <w:pPr>
        <w:pStyle w:val="Balk2"/>
        <w:numPr>
          <w:ilvl w:val="1"/>
          <w:numId w:val="1"/>
        </w:numPr>
        <w:spacing w:before="120" w:after="120"/>
        <w:ind w:left="426"/>
        <w:jc w:val="both"/>
        <w:rPr>
          <w:szCs w:val="24"/>
        </w:rPr>
      </w:pPr>
      <w:r w:rsidRPr="0055784D">
        <w:rPr>
          <w:szCs w:val="24"/>
        </w:rPr>
        <w:t xml:space="preserve">Yerli </w:t>
      </w:r>
      <w:r w:rsidR="00B14E74" w:rsidRPr="0055784D">
        <w:rPr>
          <w:szCs w:val="24"/>
        </w:rPr>
        <w:t>üretim dalının temsil niteliği</w:t>
      </w:r>
      <w:bookmarkEnd w:id="8"/>
    </w:p>
    <w:p w14:paraId="25085A61" w14:textId="6C3EA753" w:rsidR="00D8458B" w:rsidRPr="003527E4" w:rsidRDefault="00D8458B" w:rsidP="001161E3">
      <w:pPr>
        <w:pStyle w:val="Default"/>
        <w:spacing w:before="120" w:after="120"/>
        <w:jc w:val="both"/>
        <w:rPr>
          <w:color w:val="auto"/>
        </w:rPr>
      </w:pPr>
      <w:r>
        <w:rPr>
          <w:lang w:eastAsia="en-US"/>
        </w:rPr>
        <w:t xml:space="preserve">(1) </w:t>
      </w:r>
      <w:bookmarkStart w:id="9" w:name="_Hlk171671434"/>
      <w:r w:rsidR="007904DA" w:rsidRPr="007904DA">
        <w:rPr>
          <w:color w:val="auto"/>
        </w:rPr>
        <w:t xml:space="preserve">Yönetmeliğin 18 inci maddesi uyarınca, yerli üretim dalını temsil etme niteliğine sahip olan yerli </w:t>
      </w:r>
      <w:r w:rsidR="003F3605" w:rsidRPr="003F3605">
        <w:rPr>
          <w:color w:val="auto"/>
        </w:rPr>
        <w:t xml:space="preserve">üreticiler Bakırlar, Kıvanç, </w:t>
      </w:r>
      <w:proofErr w:type="spellStart"/>
      <w:r w:rsidR="003F3605" w:rsidRPr="003F3605">
        <w:rPr>
          <w:color w:val="auto"/>
        </w:rPr>
        <w:t>Kimteks</w:t>
      </w:r>
      <w:proofErr w:type="spellEnd"/>
      <w:r w:rsidR="003F3605" w:rsidRPr="003F3605">
        <w:rPr>
          <w:color w:val="auto"/>
        </w:rPr>
        <w:t xml:space="preserve">, Oğuz ve </w:t>
      </w:r>
      <w:proofErr w:type="spellStart"/>
      <w:r w:rsidR="003F3605" w:rsidRPr="003F3605">
        <w:rPr>
          <w:color w:val="auto"/>
        </w:rPr>
        <w:t>Uğurteks</w:t>
      </w:r>
      <w:proofErr w:type="spellEnd"/>
      <w:r w:rsidR="003F3605" w:rsidRPr="003F3605">
        <w:rPr>
          <w:color w:val="auto"/>
        </w:rPr>
        <w:t xml:space="preserve"> firmaları</w:t>
      </w:r>
      <w:r w:rsidR="007904DA" w:rsidRPr="007904DA">
        <w:rPr>
          <w:color w:val="auto"/>
        </w:rPr>
        <w:t xml:space="preserve"> tarafından yapılan başvurunun, Yönetmeliğin </w:t>
      </w:r>
      <w:proofErr w:type="gramStart"/>
      <w:r w:rsidR="007904DA" w:rsidRPr="007904DA">
        <w:rPr>
          <w:color w:val="auto"/>
        </w:rPr>
        <w:t xml:space="preserve">20 </w:t>
      </w:r>
      <w:proofErr w:type="spellStart"/>
      <w:r w:rsidR="007904DA" w:rsidRPr="007904DA">
        <w:rPr>
          <w:color w:val="auto"/>
        </w:rPr>
        <w:t>nci</w:t>
      </w:r>
      <w:proofErr w:type="spellEnd"/>
      <w:proofErr w:type="gramEnd"/>
      <w:r w:rsidR="007904DA" w:rsidRPr="007904DA">
        <w:rPr>
          <w:color w:val="auto"/>
        </w:rPr>
        <w:t xml:space="preserve"> maddesi uyarınca yerli üretim dalı adına yapıldığı anlaşılmıştır. Anılan firma</w:t>
      </w:r>
      <w:r w:rsidR="008F699F">
        <w:rPr>
          <w:color w:val="auto"/>
        </w:rPr>
        <w:t>lar</w:t>
      </w:r>
      <w:r w:rsidR="007904DA" w:rsidRPr="007904DA">
        <w:rPr>
          <w:color w:val="auto"/>
        </w:rPr>
        <w:t>, bu raporun ilgili bölümlerinde “yerli üretim dalı” olarak anılacaktır.</w:t>
      </w:r>
    </w:p>
    <w:bookmarkEnd w:id="9"/>
    <w:p w14:paraId="54EA25FB" w14:textId="6225B965" w:rsidR="00E8795C" w:rsidRDefault="007809F3" w:rsidP="001161E3">
      <w:pPr>
        <w:pStyle w:val="Balk2"/>
        <w:numPr>
          <w:ilvl w:val="1"/>
          <w:numId w:val="1"/>
        </w:numPr>
        <w:spacing w:before="120" w:after="120"/>
        <w:ind w:left="426"/>
        <w:rPr>
          <w:szCs w:val="24"/>
        </w:rPr>
      </w:pPr>
      <w:r w:rsidRPr="0055784D">
        <w:rPr>
          <w:szCs w:val="24"/>
        </w:rPr>
        <w:t xml:space="preserve">Soruşturma </w:t>
      </w:r>
      <w:r w:rsidR="007E1C2F" w:rsidRPr="0055784D">
        <w:rPr>
          <w:szCs w:val="24"/>
        </w:rPr>
        <w:t>ve gözden geçirme dönemi</w:t>
      </w:r>
    </w:p>
    <w:p w14:paraId="4A7220B3" w14:textId="77777777" w:rsidR="003F4ABE" w:rsidRDefault="003F3605" w:rsidP="003F4ABE">
      <w:pPr>
        <w:pStyle w:val="Default"/>
        <w:numPr>
          <w:ilvl w:val="0"/>
          <w:numId w:val="18"/>
        </w:numPr>
        <w:spacing w:before="120" w:after="120"/>
        <w:jc w:val="both"/>
        <w:rPr>
          <w:color w:val="auto"/>
        </w:rPr>
      </w:pPr>
      <w:r w:rsidRPr="003F3605">
        <w:rPr>
          <w:color w:val="auto"/>
        </w:rPr>
        <w:t>Mevcut önlemin yürürlükten kalkması durumunda, dampingin ve zararın devam etmesinin veya yeniden meydana gelmesinin muhtemel olup olmadığının tespiti için 1/1/2020-30/6/2023 arasındaki dönem gözden geçirme dönemi; 1/7/2022-30/6/2023 arasındaki dönem ise soruşturma dönemi (SD) olarak belirlenmiştir.</w:t>
      </w:r>
      <w:bookmarkStart w:id="10" w:name="_Toc317854277"/>
      <w:bookmarkStart w:id="11" w:name="_Toc98149746"/>
    </w:p>
    <w:p w14:paraId="191EC656" w14:textId="171F72A3" w:rsidR="00A80C10" w:rsidRPr="00A80C10" w:rsidRDefault="00E8795C" w:rsidP="00A80C10">
      <w:pPr>
        <w:pStyle w:val="Default"/>
        <w:numPr>
          <w:ilvl w:val="0"/>
          <w:numId w:val="44"/>
        </w:numPr>
        <w:spacing w:before="120" w:after="120"/>
        <w:jc w:val="both"/>
        <w:rPr>
          <w:b/>
          <w:color w:val="auto"/>
        </w:rPr>
      </w:pPr>
      <w:r w:rsidRPr="00A80C10">
        <w:rPr>
          <w:b/>
        </w:rPr>
        <w:t xml:space="preserve">İlgili </w:t>
      </w:r>
      <w:r w:rsidR="00F74788" w:rsidRPr="00A80C10">
        <w:rPr>
          <w:b/>
        </w:rPr>
        <w:t>tarafların bilgilendirilmesi, dinlenmesi ve bilgilerin değerlendirilmesi</w:t>
      </w:r>
      <w:bookmarkStart w:id="12" w:name="_Toc317854278"/>
      <w:bookmarkStart w:id="13" w:name="_Toc98149747"/>
      <w:bookmarkEnd w:id="10"/>
      <w:bookmarkEnd w:id="11"/>
    </w:p>
    <w:p w14:paraId="45004213" w14:textId="77777777" w:rsidR="00522ABA" w:rsidRPr="00522ABA" w:rsidRDefault="00DB0D0E" w:rsidP="00A60D68">
      <w:pPr>
        <w:pStyle w:val="Default"/>
        <w:numPr>
          <w:ilvl w:val="0"/>
          <w:numId w:val="45"/>
        </w:numPr>
        <w:spacing w:before="120" w:after="120"/>
        <w:jc w:val="both"/>
        <w:rPr>
          <w:color w:val="auto"/>
        </w:rPr>
      </w:pPr>
      <w:r w:rsidRPr="003F4ABE">
        <w:t xml:space="preserve">Soruşturma açılmasını müteakip, soruşturma konusu ürünün Bakanlık tarafından tespit edilen </w:t>
      </w:r>
      <w:proofErr w:type="spellStart"/>
      <w:r w:rsidRPr="003F4ABE">
        <w:t>ÇHC’de</w:t>
      </w:r>
      <w:proofErr w:type="spellEnd"/>
      <w:r w:rsidRPr="003F4ABE">
        <w:t xml:space="preserve"> yerleşik üreticilerine/ihracatçılarına, Türkiye’de yerleşik ithalatçılarına ve ayrıca mezkûr ülkede yerleşik diğer üreticilere/ihracatçılara iletilebilmesini </w:t>
      </w:r>
      <w:proofErr w:type="spellStart"/>
      <w:r w:rsidRPr="003F4ABE">
        <w:t>teminen</w:t>
      </w:r>
      <w:proofErr w:type="spellEnd"/>
      <w:r w:rsidRPr="003F4ABE">
        <w:t xml:space="preserve"> </w:t>
      </w:r>
      <w:proofErr w:type="spellStart"/>
      <w:r w:rsidRPr="003F4ABE">
        <w:t>ÇHC’nin</w:t>
      </w:r>
      <w:proofErr w:type="spellEnd"/>
      <w:r w:rsidRPr="003F4ABE">
        <w:t xml:space="preserve"> Ankara Büyükelçiliğine soruşturmanın açılışına ilişkin bildirimde bulunulmuştur.</w:t>
      </w:r>
      <w:r w:rsidR="00522ABA">
        <w:t xml:space="preserve"> </w:t>
      </w:r>
    </w:p>
    <w:p w14:paraId="3BB40B76" w14:textId="32C830AE" w:rsidR="003F4ABE" w:rsidRPr="003F4ABE" w:rsidRDefault="00DB0D0E" w:rsidP="00A60D68">
      <w:pPr>
        <w:pStyle w:val="Default"/>
        <w:numPr>
          <w:ilvl w:val="0"/>
          <w:numId w:val="45"/>
        </w:numPr>
        <w:spacing w:before="120" w:after="120"/>
        <w:jc w:val="both"/>
        <w:rPr>
          <w:color w:val="auto"/>
        </w:rPr>
      </w:pPr>
      <w:r w:rsidRPr="003F4ABE">
        <w:t>Bildirimde, soruşturma açılış Tebliğine, başvurunun gizli olmayan özetine ve soru formlarına nereden erişilebileceği hususunda bilgi verilmiştir.</w:t>
      </w:r>
    </w:p>
    <w:p w14:paraId="37D38643" w14:textId="67D6D31E" w:rsidR="003F4ABE" w:rsidRPr="003F4ABE" w:rsidRDefault="00DB0D0E" w:rsidP="00A60D68">
      <w:pPr>
        <w:pStyle w:val="Default"/>
        <w:numPr>
          <w:ilvl w:val="0"/>
          <w:numId w:val="45"/>
        </w:numPr>
        <w:spacing w:before="120" w:after="120"/>
        <w:jc w:val="both"/>
        <w:rPr>
          <w:color w:val="auto"/>
        </w:rPr>
      </w:pPr>
      <w:r w:rsidRPr="003F4ABE">
        <w:t xml:space="preserve">Taraflara görüş bildirme ve soru formunu yanıtlamaları için posta süresi dâhil 37 gün süre tanınmıştır. Ayrıca, ilgili tarafların süre uzatımı yönündeki </w:t>
      </w:r>
      <w:r w:rsidR="00F74788" w:rsidRPr="003F4ABE">
        <w:t>makul</w:t>
      </w:r>
      <w:r w:rsidRPr="003F4ABE">
        <w:t xml:space="preserve"> talepleri karşılanmıştır.</w:t>
      </w:r>
    </w:p>
    <w:p w14:paraId="48405ADF" w14:textId="77777777" w:rsidR="003F4ABE" w:rsidRPr="003F4ABE" w:rsidRDefault="00DB0D0E" w:rsidP="00A60D68">
      <w:pPr>
        <w:pStyle w:val="Default"/>
        <w:numPr>
          <w:ilvl w:val="0"/>
          <w:numId w:val="45"/>
        </w:numPr>
        <w:spacing w:before="120" w:after="120"/>
        <w:jc w:val="both"/>
        <w:rPr>
          <w:color w:val="auto"/>
        </w:rPr>
      </w:pPr>
      <w:r w:rsidRPr="003F4ABE">
        <w:t>Yerli üretim dalı, soruşturma süresi boyunca Bakanlık ile iş birliği içinde olmuş ve gerektiğinde talep edilen ilave bilgileri temin etmiştir.</w:t>
      </w:r>
    </w:p>
    <w:p w14:paraId="4AFD9251" w14:textId="77777777" w:rsidR="003F4ABE" w:rsidRPr="003F4ABE" w:rsidRDefault="00DB0D0E" w:rsidP="00A60D68">
      <w:pPr>
        <w:pStyle w:val="Default"/>
        <w:numPr>
          <w:ilvl w:val="0"/>
          <w:numId w:val="45"/>
        </w:numPr>
        <w:spacing w:before="120" w:after="120"/>
        <w:jc w:val="both"/>
        <w:rPr>
          <w:color w:val="auto"/>
        </w:rPr>
      </w:pPr>
      <w:r w:rsidRPr="003F4ABE">
        <w:t xml:space="preserve">Soruşturma konusu üründe ithalat gerçekleştirdiği tespit edilen ithalatçı firmalara soruşturma açılışına ilişkin bildirimde bulunulmuş olup söz konusu firmalardan 3 tanesinin iş birliğinde bulunduğu kabul edilmiştir. </w:t>
      </w:r>
    </w:p>
    <w:p w14:paraId="079484F3" w14:textId="77777777" w:rsidR="003F4ABE" w:rsidRPr="003F4ABE" w:rsidRDefault="00DB0D0E" w:rsidP="00A60D68">
      <w:pPr>
        <w:pStyle w:val="Default"/>
        <w:numPr>
          <w:ilvl w:val="0"/>
          <w:numId w:val="45"/>
        </w:numPr>
        <w:spacing w:before="120" w:after="120"/>
        <w:jc w:val="both"/>
        <w:rPr>
          <w:color w:val="auto"/>
        </w:rPr>
      </w:pPr>
      <w:r w:rsidRPr="003F4ABE">
        <w:t xml:space="preserve">Türkiye’ye ÇHC menşeli soruşturma konusu ürünün ihracatını gerçekleştirdiği tespit edilen üretici/ihracatçı firmalardan </w:t>
      </w:r>
      <w:proofErr w:type="spellStart"/>
      <w:r w:rsidRPr="003F4ABE">
        <w:t>Persentili</w:t>
      </w:r>
      <w:proofErr w:type="spellEnd"/>
      <w:r w:rsidRPr="003F4ABE">
        <w:t xml:space="preserve"> </w:t>
      </w:r>
      <w:proofErr w:type="spellStart"/>
      <w:r w:rsidRPr="003F4ABE">
        <w:t>Internacional</w:t>
      </w:r>
      <w:proofErr w:type="spellEnd"/>
      <w:r w:rsidRPr="003F4ABE">
        <w:t>, S.L.U. (</w:t>
      </w:r>
      <w:proofErr w:type="spellStart"/>
      <w:r w:rsidRPr="003F4ABE">
        <w:t>Persentili</w:t>
      </w:r>
      <w:proofErr w:type="spellEnd"/>
      <w:r w:rsidRPr="003F4ABE">
        <w:t>) firmasının iş birliğinde bulunduğu kabul edilmiştir.</w:t>
      </w:r>
    </w:p>
    <w:p w14:paraId="7CD7A6BB" w14:textId="77777777" w:rsidR="003F4ABE" w:rsidRPr="003F4ABE" w:rsidRDefault="00DB0D0E" w:rsidP="00A60D68">
      <w:pPr>
        <w:pStyle w:val="Default"/>
        <w:numPr>
          <w:ilvl w:val="0"/>
          <w:numId w:val="45"/>
        </w:numPr>
        <w:spacing w:before="120" w:after="120"/>
        <w:jc w:val="both"/>
        <w:rPr>
          <w:color w:val="auto"/>
        </w:rPr>
      </w:pPr>
      <w:r w:rsidRPr="003F4ABE">
        <w:t xml:space="preserve">Akdeniz Tekstil ve Hammaddeleri İhracatçıları Birliği (ATHİB) ve İstanbul Tekstil ve Hammaddeleri İhracatçıları Birliği (İTHİB) soruşturma açılmasını müteakip ilgili taraf olma talebini Bakanlığa iletmiştir. Yönetmeliğin </w:t>
      </w:r>
      <w:proofErr w:type="gramStart"/>
      <w:r w:rsidRPr="003F4ABE">
        <w:t>23 üncü</w:t>
      </w:r>
      <w:proofErr w:type="gramEnd"/>
      <w:r w:rsidRPr="003F4ABE">
        <w:t xml:space="preserve"> maddesi uyarınca anılan Birlikler ilgili taraf statüsünü haizdir.</w:t>
      </w:r>
    </w:p>
    <w:p w14:paraId="377D1FA9" w14:textId="528B9DAE" w:rsidR="003F4ABE" w:rsidRPr="003F4ABE" w:rsidRDefault="00DB0D0E" w:rsidP="00A60D68">
      <w:pPr>
        <w:pStyle w:val="Default"/>
        <w:numPr>
          <w:ilvl w:val="0"/>
          <w:numId w:val="45"/>
        </w:numPr>
        <w:spacing w:before="120" w:after="120"/>
        <w:jc w:val="both"/>
        <w:rPr>
          <w:color w:val="auto"/>
        </w:rPr>
      </w:pPr>
      <w:r w:rsidRPr="003F4ABE">
        <w:lastRenderedPageBreak/>
        <w:t xml:space="preserve">Soruşturma sonucunda alınacak karara esas teşkil edecek bilgi, bulgu, tespit ve değerlendirmeleri içeren </w:t>
      </w:r>
      <w:r w:rsidR="00F74788" w:rsidRPr="003F4ABE">
        <w:t>n</w:t>
      </w:r>
      <w:r w:rsidRPr="003F4ABE">
        <w:t xml:space="preserve">ihai </w:t>
      </w:r>
      <w:r w:rsidR="00F74788" w:rsidRPr="003F4ABE">
        <w:t xml:space="preserve">bildirim raporu </w:t>
      </w:r>
      <w:r w:rsidRPr="003F4ABE">
        <w:t>27/12/2024 tarihinde yayımlanmıştır.</w:t>
      </w:r>
    </w:p>
    <w:p w14:paraId="7E8ED1DA" w14:textId="5B8A4663" w:rsidR="003F4ABE" w:rsidRPr="003F4ABE" w:rsidRDefault="00DB0D0E" w:rsidP="00A60D68">
      <w:pPr>
        <w:pStyle w:val="Default"/>
        <w:numPr>
          <w:ilvl w:val="0"/>
          <w:numId w:val="45"/>
        </w:numPr>
        <w:spacing w:before="120" w:after="120"/>
        <w:jc w:val="both"/>
        <w:rPr>
          <w:color w:val="auto"/>
        </w:rPr>
      </w:pPr>
      <w:r w:rsidRPr="003F4ABE">
        <w:t>Yayımlanan nihai bildirim rapor</w:t>
      </w:r>
      <w:r w:rsidR="00F74788">
        <w:t>u</w:t>
      </w:r>
      <w:r w:rsidRPr="003F4ABE">
        <w:t xml:space="preserve"> sonrasında, ilgili tarafların nihai bildirime ilişkin görüşlerini sözlü olarak da sunmalarına imkân tanımak amacıyla </w:t>
      </w:r>
      <w:r w:rsidR="00F74788">
        <w:t xml:space="preserve">9/1/2025 tarihinde </w:t>
      </w:r>
      <w:r w:rsidRPr="003F4ABE">
        <w:t>kamu dinleme toplantıları planlanmış</w:t>
      </w:r>
      <w:r w:rsidR="00F74788">
        <w:t xml:space="preserve"> olup</w:t>
      </w:r>
      <w:r w:rsidRPr="003F4ABE">
        <w:t xml:space="preserve"> ilgili taraflardan talep gelmemesi üzerine söz konusu toplantılar düzenlenmemiştir.</w:t>
      </w:r>
    </w:p>
    <w:p w14:paraId="1A54E6BD" w14:textId="1F96FDAE" w:rsidR="00DB0D0E" w:rsidRPr="003F4ABE" w:rsidRDefault="00DB0D0E" w:rsidP="00A60D68">
      <w:pPr>
        <w:pStyle w:val="Default"/>
        <w:numPr>
          <w:ilvl w:val="0"/>
          <w:numId w:val="45"/>
        </w:numPr>
        <w:spacing w:before="120" w:after="120"/>
        <w:jc w:val="both"/>
        <w:rPr>
          <w:color w:val="auto"/>
        </w:rPr>
      </w:pPr>
      <w:r w:rsidRPr="003F4ABE">
        <w:t>Tarafların işbu soruşturma boyunca ortaya koyduğu tüm bilgi, belge ve görüşler incelenmiş, mezkûr görüşlerden mevzuat kapsamında değerlendirilebilecek olanlara bu raporun ilgili bölümlerinde yer verilmiştir.</w:t>
      </w:r>
    </w:p>
    <w:p w14:paraId="20BB6DC1" w14:textId="58DBA2BC" w:rsidR="009D4B01" w:rsidRPr="0055784D" w:rsidRDefault="00414100" w:rsidP="001161E3">
      <w:pPr>
        <w:pStyle w:val="Balk2"/>
        <w:spacing w:before="120" w:after="120"/>
        <w:rPr>
          <w:szCs w:val="24"/>
        </w:rPr>
      </w:pPr>
      <w:r w:rsidRPr="0055784D">
        <w:rPr>
          <w:szCs w:val="24"/>
        </w:rPr>
        <w:t xml:space="preserve">1.7. </w:t>
      </w:r>
      <w:r w:rsidR="000337B5" w:rsidRPr="0055784D">
        <w:rPr>
          <w:szCs w:val="24"/>
        </w:rPr>
        <w:t>Yerinde</w:t>
      </w:r>
      <w:r w:rsidR="009D4B01" w:rsidRPr="0055784D">
        <w:rPr>
          <w:szCs w:val="24"/>
        </w:rPr>
        <w:t xml:space="preserve"> </w:t>
      </w:r>
      <w:r w:rsidR="00206FBD" w:rsidRPr="0055784D">
        <w:rPr>
          <w:szCs w:val="24"/>
        </w:rPr>
        <w:t xml:space="preserve">doğrulama </w:t>
      </w:r>
      <w:bookmarkEnd w:id="12"/>
      <w:r w:rsidR="00206FBD" w:rsidRPr="0055784D">
        <w:rPr>
          <w:szCs w:val="24"/>
        </w:rPr>
        <w:t>incelemesi</w:t>
      </w:r>
      <w:bookmarkEnd w:id="13"/>
    </w:p>
    <w:p w14:paraId="176AF366" w14:textId="04101C68" w:rsidR="00677C21" w:rsidRPr="00DB0D0E" w:rsidRDefault="00DB0D0E" w:rsidP="004B4889">
      <w:pPr>
        <w:pStyle w:val="Default"/>
        <w:numPr>
          <w:ilvl w:val="0"/>
          <w:numId w:val="13"/>
        </w:numPr>
        <w:spacing w:before="120" w:after="120"/>
        <w:ind w:firstLine="0"/>
        <w:jc w:val="both"/>
        <w:rPr>
          <w:color w:val="auto"/>
        </w:rPr>
      </w:pPr>
      <w:bookmarkStart w:id="14" w:name="_Hlk171671552"/>
      <w:bookmarkStart w:id="15" w:name="_Toc98149748"/>
      <w:r w:rsidRPr="007C588C">
        <w:rPr>
          <w:color w:val="auto"/>
        </w:rPr>
        <w:t>Yönetmeliğin 21 inci maddesi çerçevesinde 14-18/10/2024 tarihlerinde yerli üreticiler Bakırlar ve Kıvanç firmalarının üretim ve idari tesislerinde yerinde doğrulama incelemeleri</w:t>
      </w:r>
      <w:r>
        <w:rPr>
          <w:color w:val="auto"/>
        </w:rPr>
        <w:t xml:space="preserve"> gerçekleştirilmiştir</w:t>
      </w:r>
      <w:r w:rsidR="00677C21" w:rsidRPr="00DB0D0E">
        <w:rPr>
          <w:color w:val="auto"/>
        </w:rPr>
        <w:t>.</w:t>
      </w:r>
    </w:p>
    <w:bookmarkEnd w:id="14"/>
    <w:p w14:paraId="0E0D588E" w14:textId="77777777" w:rsidR="009053B4" w:rsidRPr="0055784D" w:rsidRDefault="009053B4" w:rsidP="004B4889">
      <w:pPr>
        <w:pStyle w:val="Balk1"/>
        <w:numPr>
          <w:ilvl w:val="0"/>
          <w:numId w:val="2"/>
        </w:numPr>
        <w:spacing w:before="120" w:after="120"/>
        <w:rPr>
          <w:rFonts w:ascii="Times New Roman" w:hAnsi="Times New Roman" w:cs="Times New Roman"/>
          <w:sz w:val="24"/>
          <w:szCs w:val="24"/>
        </w:rPr>
      </w:pPr>
      <w:r w:rsidRPr="0055784D">
        <w:rPr>
          <w:rFonts w:ascii="Times New Roman" w:hAnsi="Times New Roman" w:cs="Times New Roman"/>
          <w:sz w:val="24"/>
          <w:szCs w:val="24"/>
        </w:rPr>
        <w:t>Soruşturma Konusu Ürün ve Benzer Ürün</w:t>
      </w:r>
      <w:bookmarkEnd w:id="15"/>
    </w:p>
    <w:p w14:paraId="310AF53C" w14:textId="7819DA4A" w:rsidR="009053B4" w:rsidRPr="0055784D" w:rsidRDefault="009148B5" w:rsidP="004B4889">
      <w:pPr>
        <w:pStyle w:val="Balk2"/>
        <w:numPr>
          <w:ilvl w:val="1"/>
          <w:numId w:val="2"/>
        </w:numPr>
        <w:spacing w:before="120" w:after="120"/>
        <w:ind w:left="426"/>
        <w:rPr>
          <w:szCs w:val="24"/>
        </w:rPr>
      </w:pPr>
      <w:bookmarkStart w:id="16" w:name="_Toc98149749"/>
      <w:r w:rsidRPr="0055784D">
        <w:rPr>
          <w:szCs w:val="24"/>
        </w:rPr>
        <w:t xml:space="preserve">Soruşturma </w:t>
      </w:r>
      <w:r w:rsidR="00206FBD" w:rsidRPr="0055784D">
        <w:rPr>
          <w:szCs w:val="24"/>
        </w:rPr>
        <w:t>konusu ürün ve benzer ürün</w:t>
      </w:r>
      <w:bookmarkEnd w:id="16"/>
    </w:p>
    <w:p w14:paraId="333EC1B9" w14:textId="77777777" w:rsidR="00156F01" w:rsidRPr="00156F01" w:rsidRDefault="00156F01" w:rsidP="004B4889">
      <w:pPr>
        <w:numPr>
          <w:ilvl w:val="0"/>
          <w:numId w:val="20"/>
        </w:numPr>
        <w:spacing w:before="120" w:after="120"/>
        <w:jc w:val="both"/>
        <w:rPr>
          <w:lang w:eastAsia="en-US"/>
        </w:rPr>
      </w:pPr>
      <w:bookmarkStart w:id="17" w:name="_Toc519505558"/>
      <w:bookmarkStart w:id="18" w:name="_Toc98149750"/>
      <w:r w:rsidRPr="00156F01">
        <w:rPr>
          <w:lang w:eastAsia="en-US"/>
        </w:rPr>
        <w:t xml:space="preserve">Soruşturma konusu ürün, ÇHC menşeli 55.13, 55.14, 55.15 ve 55.16 </w:t>
      </w:r>
      <w:proofErr w:type="spellStart"/>
      <w:r w:rsidRPr="00156F01">
        <w:rPr>
          <w:lang w:eastAsia="en-US"/>
        </w:rPr>
        <w:t>GTP’leri</w:t>
      </w:r>
      <w:proofErr w:type="spellEnd"/>
      <w:r w:rsidRPr="00156F01">
        <w:rPr>
          <w:lang w:eastAsia="en-US"/>
        </w:rPr>
        <w:t xml:space="preserve"> altında sınıflandırılan “sentetik veya suni devamsız liflerden dokunmuş </w:t>
      </w:r>
      <w:proofErr w:type="spellStart"/>
      <w:r w:rsidRPr="00156F01">
        <w:rPr>
          <w:lang w:eastAsia="en-US"/>
        </w:rPr>
        <w:t>mensucat”tır</w:t>
      </w:r>
      <w:proofErr w:type="spellEnd"/>
      <w:r w:rsidRPr="00156F01">
        <w:rPr>
          <w:lang w:eastAsia="en-US"/>
        </w:rPr>
        <w:t>.</w:t>
      </w:r>
    </w:p>
    <w:p w14:paraId="099AAE67" w14:textId="77777777" w:rsidR="00156F01" w:rsidRPr="00156F01" w:rsidRDefault="00156F01" w:rsidP="004B4889">
      <w:pPr>
        <w:numPr>
          <w:ilvl w:val="0"/>
          <w:numId w:val="20"/>
        </w:numPr>
        <w:tabs>
          <w:tab w:val="left" w:pos="284"/>
        </w:tabs>
        <w:spacing w:after="120"/>
        <w:jc w:val="both"/>
      </w:pPr>
      <w:r w:rsidRPr="00156F01">
        <w:rPr>
          <w:bCs/>
        </w:rPr>
        <w:t xml:space="preserve">Sentetik veya suni devamsız liflerden dokunmuş söz konusu kumaşlar, sentetik veya suni kesik elyaf ağırlığını korumakla birlikte, </w:t>
      </w:r>
      <w:proofErr w:type="spellStart"/>
      <w:r w:rsidRPr="00156F01">
        <w:rPr>
          <w:bCs/>
        </w:rPr>
        <w:t>viskon</w:t>
      </w:r>
      <w:proofErr w:type="spellEnd"/>
      <w:r w:rsidRPr="00156F01">
        <w:rPr>
          <w:bCs/>
        </w:rPr>
        <w:t>-keten-pamuk-</w:t>
      </w:r>
      <w:proofErr w:type="spellStart"/>
      <w:r w:rsidRPr="00156F01">
        <w:rPr>
          <w:bCs/>
        </w:rPr>
        <w:t>likra</w:t>
      </w:r>
      <w:proofErr w:type="spellEnd"/>
      <w:r w:rsidRPr="00156F01">
        <w:rPr>
          <w:bCs/>
        </w:rPr>
        <w:t xml:space="preserve"> gibi muhtelif karışım ilaveleriyle çok geniş çeşitliliğe ve ikame özelliğine sahiptir. Suni lifler, selüloz gibi doğal maddelerden mamul olanları, sentetik lifler ise petrol esaslı ham maddelerden elde edilmiş olanları ifade etmektedir.</w:t>
      </w:r>
    </w:p>
    <w:p w14:paraId="0E2150E1" w14:textId="341112C3" w:rsidR="00156F01" w:rsidRPr="00156F01" w:rsidRDefault="00156F01" w:rsidP="004B4889">
      <w:pPr>
        <w:numPr>
          <w:ilvl w:val="0"/>
          <w:numId w:val="20"/>
        </w:numPr>
        <w:tabs>
          <w:tab w:val="left" w:pos="284"/>
        </w:tabs>
        <w:spacing w:after="120"/>
        <w:jc w:val="both"/>
      </w:pPr>
      <w:r w:rsidRPr="00156F01">
        <w:t>Soruşturma konusu “sentetik veya suni devamsız liflerden dokunmuş mensucat” üretimi, çözgü ipliklerinin leventlere hazırlanması ile başlamakta, atkı iplikleri ile birlikte dokuma tezgâhlarında dokunması ile devam etmekte ve ardından tekstil-terbiye tesislerinde nihai haline gelmesi ile son bulmaktadır.</w:t>
      </w:r>
    </w:p>
    <w:p w14:paraId="2F2888B4" w14:textId="77777777" w:rsidR="00156F01" w:rsidRPr="00156F01" w:rsidRDefault="00156F01" w:rsidP="004B4889">
      <w:pPr>
        <w:numPr>
          <w:ilvl w:val="0"/>
          <w:numId w:val="20"/>
        </w:numPr>
        <w:tabs>
          <w:tab w:val="left" w:pos="284"/>
        </w:tabs>
        <w:spacing w:after="120"/>
        <w:jc w:val="both"/>
      </w:pPr>
      <w:r w:rsidRPr="00156F01">
        <w:t xml:space="preserve">Bazı ithalatçı firmalar tarafından, yerli üretim dalı tarafından bazı ürünlerde gerekli özelliklerin ve değerlerin sağlanmadığı (50 </w:t>
      </w:r>
      <w:proofErr w:type="spellStart"/>
      <w:r w:rsidRPr="00156F01">
        <w:t>Denye</w:t>
      </w:r>
      <w:proofErr w:type="spellEnd"/>
      <w:r w:rsidRPr="00156F01">
        <w:t xml:space="preserve"> polyester 20 </w:t>
      </w:r>
      <w:proofErr w:type="spellStart"/>
      <w:r w:rsidRPr="00156F01">
        <w:t>Denye</w:t>
      </w:r>
      <w:proofErr w:type="spellEnd"/>
      <w:r w:rsidRPr="00156F01">
        <w:t xml:space="preserve"> </w:t>
      </w:r>
      <w:proofErr w:type="spellStart"/>
      <w:r w:rsidRPr="00156F01">
        <w:t>elastane</w:t>
      </w:r>
      <w:proofErr w:type="spellEnd"/>
      <w:r w:rsidRPr="00156F01">
        <w:t xml:space="preserve"> saten 90 g/m2) ve bazı ürünlerin üretilmediği (polyester </w:t>
      </w:r>
      <w:proofErr w:type="spellStart"/>
      <w:r w:rsidRPr="00156F01">
        <w:t>pdf</w:t>
      </w:r>
      <w:proofErr w:type="spellEnd"/>
      <w:r w:rsidRPr="00156F01">
        <w:t xml:space="preserve"> (ağartılmış) kumaş, pamuk ham kumaş ve </w:t>
      </w:r>
      <w:proofErr w:type="spellStart"/>
      <w:r w:rsidRPr="00156F01">
        <w:t>viskon</w:t>
      </w:r>
      <w:proofErr w:type="spellEnd"/>
      <w:r w:rsidRPr="00156F01">
        <w:t xml:space="preserve"> kumaş) iddialarında bulunulmuştur. Ancak polyester </w:t>
      </w:r>
      <w:proofErr w:type="spellStart"/>
      <w:r w:rsidRPr="00156F01">
        <w:t>pdf</w:t>
      </w:r>
      <w:proofErr w:type="spellEnd"/>
      <w:r w:rsidRPr="00156F01">
        <w:t xml:space="preserve">, pamuk ham ve </w:t>
      </w:r>
      <w:proofErr w:type="spellStart"/>
      <w:r w:rsidRPr="00156F01">
        <w:t>viskon</w:t>
      </w:r>
      <w:proofErr w:type="spellEnd"/>
      <w:r w:rsidRPr="00156F01">
        <w:t xml:space="preserve"> kumaş ürünlerinin Türkiye’de üretiminin mevcut olduğu yerli üretim dalı tarafından teyit edilmiştir. Ek olarak, 50 </w:t>
      </w:r>
      <w:proofErr w:type="spellStart"/>
      <w:r w:rsidRPr="00156F01">
        <w:t>Denye</w:t>
      </w:r>
      <w:proofErr w:type="spellEnd"/>
      <w:r w:rsidRPr="00156F01">
        <w:t xml:space="preserve"> polyester soruşturma konusu ürün kapsamına girmemektedir. Bununla birlikte, yerli üretim dalının soruşturma konusu ürünün tüm tiplerini üretmiyor olması soruşturma konusu ürün ve benzer ürün tanımına halel getirmemektedir.</w:t>
      </w:r>
    </w:p>
    <w:p w14:paraId="3F2468CE" w14:textId="6E422E42" w:rsidR="009A3BEF" w:rsidRDefault="0040748D" w:rsidP="009A3BEF">
      <w:pPr>
        <w:pStyle w:val="ListeParagraf"/>
        <w:numPr>
          <w:ilvl w:val="0"/>
          <w:numId w:val="20"/>
        </w:numPr>
        <w:tabs>
          <w:tab w:val="left" w:pos="0"/>
        </w:tabs>
        <w:spacing w:after="120"/>
        <w:jc w:val="both"/>
      </w:pPr>
      <w:r>
        <w:t>İthalatta Haksız Rekabetin Önlenmesine İlişkin Tebliğ (</w:t>
      </w:r>
      <w:r w:rsidR="00F8198C" w:rsidRPr="00F8198C">
        <w:t>2001/2</w:t>
      </w:r>
      <w:r>
        <w:t>)</w:t>
      </w:r>
      <w:r w:rsidR="00F8198C" w:rsidRPr="00F8198C">
        <w:t xml:space="preserve"> ile sonuçlandırılan soruşturmada yerli üreticiler tarafından üretilen ürünler ile önleme konu ülke menşeli ürünler arasında fiziksel özellikler, ürün çeşitliliği ve kullanım alanları olarak “benzer ürün” tanımı açısından ayrım yaratan herhangi bir farklılık bulunmadığı tespit edilmiştir. Bu defa da ilgili </w:t>
      </w:r>
      <w:r w:rsidR="00C11E73">
        <w:t>soruşturma</w:t>
      </w:r>
      <w:r w:rsidR="00F8198C" w:rsidRPr="00F8198C">
        <w:t xml:space="preserve"> kapsamında yapılan değerlendirmede, İthalatta Haksız Rekabetin Önlenmesi Hakkında Yönetmeliğin </w:t>
      </w:r>
      <w:proofErr w:type="gramStart"/>
      <w:r w:rsidR="00F8198C" w:rsidRPr="00F8198C">
        <w:t>4 üncü</w:t>
      </w:r>
      <w:proofErr w:type="gramEnd"/>
      <w:r w:rsidR="00F8198C" w:rsidRPr="00F8198C">
        <w:t xml:space="preserve"> maddesi çerçevesinde benzer ürüne yönelik tespiti değiştirecek herhangi bir bulguya rastlanılmamıştır</w:t>
      </w:r>
      <w:r w:rsidR="009A3BEF">
        <w:t>.</w:t>
      </w:r>
    </w:p>
    <w:p w14:paraId="4A205A60" w14:textId="1CF6B257" w:rsidR="00156F01" w:rsidRPr="00156F01" w:rsidRDefault="00156F01" w:rsidP="009A3BEF">
      <w:pPr>
        <w:pStyle w:val="ListeParagraf"/>
        <w:numPr>
          <w:ilvl w:val="0"/>
          <w:numId w:val="20"/>
        </w:numPr>
        <w:tabs>
          <w:tab w:val="left" w:pos="0"/>
        </w:tabs>
        <w:spacing w:after="120"/>
        <w:jc w:val="both"/>
      </w:pPr>
      <w:r w:rsidRPr="00156F01">
        <w:t>Soruşturma konusu ürün ve benzer ürün ile ilgili açıklamalar bağlayıcı nitelikte olmayıp genel içerikli ve bilgi amaçlıdır.</w:t>
      </w:r>
    </w:p>
    <w:p w14:paraId="5CA0E5E0" w14:textId="0C19FD60" w:rsidR="00AC28C6" w:rsidRPr="0055784D" w:rsidRDefault="00AC28C6" w:rsidP="001161E3">
      <w:pPr>
        <w:pStyle w:val="Balk2"/>
        <w:spacing w:before="120" w:after="120"/>
        <w:jc w:val="both"/>
        <w:rPr>
          <w:b w:val="0"/>
          <w:vanish/>
        </w:rPr>
      </w:pPr>
    </w:p>
    <w:p w14:paraId="78150457" w14:textId="4A09A542" w:rsidR="000227B6" w:rsidRDefault="0040442A" w:rsidP="001161E3">
      <w:pPr>
        <w:pStyle w:val="Balk2"/>
        <w:spacing w:before="120" w:after="120"/>
        <w:rPr>
          <w:szCs w:val="24"/>
        </w:rPr>
      </w:pPr>
      <w:bookmarkStart w:id="19" w:name="_Toc98149751"/>
      <w:bookmarkEnd w:id="17"/>
      <w:bookmarkEnd w:id="18"/>
      <w:r w:rsidRPr="0055784D">
        <w:rPr>
          <w:szCs w:val="24"/>
        </w:rPr>
        <w:t xml:space="preserve">2.2. </w:t>
      </w:r>
      <w:bookmarkStart w:id="20" w:name="_Toc101881955"/>
      <w:bookmarkStart w:id="21" w:name="_Toc157613432"/>
      <w:r w:rsidR="000227B6" w:rsidRPr="0055784D">
        <w:rPr>
          <w:szCs w:val="24"/>
        </w:rPr>
        <w:t xml:space="preserve">Ürünün </w:t>
      </w:r>
      <w:r w:rsidR="009A3BEF" w:rsidRPr="0055784D">
        <w:rPr>
          <w:szCs w:val="24"/>
        </w:rPr>
        <w:t>ithalinde uygulanan vergi oranları ve diğer yükümlülükler</w:t>
      </w:r>
      <w:bookmarkEnd w:id="20"/>
      <w:bookmarkEnd w:id="21"/>
    </w:p>
    <w:p w14:paraId="5884C215" w14:textId="675809DB" w:rsidR="00F70918" w:rsidRDefault="00862F51" w:rsidP="001161E3">
      <w:pPr>
        <w:pStyle w:val="Default"/>
        <w:spacing w:before="120" w:after="120"/>
        <w:jc w:val="both"/>
        <w:rPr>
          <w:color w:val="0D0D0D"/>
        </w:rPr>
      </w:pPr>
      <w:r w:rsidRPr="00AE3CE9">
        <w:rPr>
          <w:color w:val="0D0D0D"/>
        </w:rPr>
        <w:t xml:space="preserve">(1) </w:t>
      </w:r>
      <w:r w:rsidR="00156F01" w:rsidRPr="00156F01">
        <w:rPr>
          <w:noProof/>
        </w:rPr>
        <w:t>Soruşturma konusu ürün için meri İthalat Rejimi Kararı çerçevesinde uygulanan gümrük vergileri aşağıda yer almaktadır. Buna göre, soruşturma konusu ürünün ÇHC menşeli olanlarının ithalinde %8 oranında gümrük vergisi uygulanmaktadır. Soruşturma döneminde yürürlükte bulunan İthalat Rejimi Kararı çerçevesinde de soruşturma konusu ülke için aynı vergi oranları uygulanmıştır.</w:t>
      </w:r>
    </w:p>
    <w:p w14:paraId="271EBCB3" w14:textId="45321F00" w:rsidR="00586F4D" w:rsidRPr="00586F4D" w:rsidRDefault="00586F4D" w:rsidP="001161E3">
      <w:pPr>
        <w:pStyle w:val="Default"/>
        <w:spacing w:before="120" w:after="120"/>
        <w:jc w:val="both"/>
        <w:rPr>
          <w:b/>
          <w:bCs/>
          <w:color w:val="0D0D0D"/>
        </w:rPr>
      </w:pPr>
      <w:r>
        <w:rPr>
          <w:b/>
          <w:bCs/>
          <w:color w:val="0D0D0D"/>
        </w:rPr>
        <w:t>Tablo 1: Gümrük Vergisi Oranları</w:t>
      </w:r>
    </w:p>
    <w:tbl>
      <w:tblPr>
        <w:tblW w:w="9109" w:type="dxa"/>
        <w:tblInd w:w="-5" w:type="dxa"/>
        <w:tblCellMar>
          <w:left w:w="70" w:type="dxa"/>
          <w:right w:w="70" w:type="dxa"/>
        </w:tblCellMar>
        <w:tblLook w:val="04A0" w:firstRow="1" w:lastRow="0" w:firstColumn="1" w:lastColumn="0" w:noHBand="0" w:noVBand="1"/>
      </w:tblPr>
      <w:tblGrid>
        <w:gridCol w:w="1959"/>
        <w:gridCol w:w="806"/>
        <w:gridCol w:w="734"/>
        <w:gridCol w:w="827"/>
        <w:gridCol w:w="1106"/>
        <w:gridCol w:w="1106"/>
        <w:gridCol w:w="1114"/>
        <w:gridCol w:w="1457"/>
      </w:tblGrid>
      <w:tr w:rsidR="00156F01" w:rsidRPr="00156F01" w14:paraId="224703CC" w14:textId="77777777" w:rsidTr="00156F01">
        <w:trPr>
          <w:trHeight w:val="354"/>
        </w:trPr>
        <w:tc>
          <w:tcPr>
            <w:tcW w:w="195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FED25CE" w14:textId="7832D698" w:rsidR="00156F01" w:rsidRPr="00156F01" w:rsidRDefault="00DA1BAF" w:rsidP="00156F01">
            <w:pPr>
              <w:jc w:val="center"/>
              <w:rPr>
                <w:b/>
                <w:bCs/>
              </w:rPr>
            </w:pPr>
            <w:r>
              <w:rPr>
                <w:b/>
                <w:bCs/>
              </w:rPr>
              <w:t>GT</w:t>
            </w:r>
            <w:r w:rsidR="00156F01" w:rsidRPr="00156F01">
              <w:rPr>
                <w:b/>
                <w:bCs/>
              </w:rPr>
              <w:t>P</w:t>
            </w:r>
          </w:p>
        </w:tc>
        <w:tc>
          <w:tcPr>
            <w:tcW w:w="7150" w:type="dxa"/>
            <w:gridSpan w:val="7"/>
            <w:tcBorders>
              <w:top w:val="single" w:sz="4" w:space="0" w:color="auto"/>
              <w:left w:val="single" w:sz="4" w:space="0" w:color="auto"/>
              <w:bottom w:val="single" w:sz="4" w:space="0" w:color="auto"/>
              <w:right w:val="single" w:sz="4" w:space="0" w:color="auto"/>
            </w:tcBorders>
            <w:vAlign w:val="center"/>
          </w:tcPr>
          <w:p w14:paraId="17D00470" w14:textId="77777777" w:rsidR="00156F01" w:rsidRPr="00156F01" w:rsidRDefault="00156F01" w:rsidP="00156F01">
            <w:pPr>
              <w:jc w:val="center"/>
              <w:rPr>
                <w:b/>
              </w:rPr>
            </w:pPr>
            <w:r w:rsidRPr="00156F01">
              <w:rPr>
                <w:b/>
              </w:rPr>
              <w:t>GÜMRÜK VERGİSİ ORANI (%)</w:t>
            </w:r>
          </w:p>
        </w:tc>
      </w:tr>
      <w:tr w:rsidR="00156F01" w:rsidRPr="00156F01" w14:paraId="358830DA" w14:textId="77777777" w:rsidTr="00156F01">
        <w:trPr>
          <w:trHeight w:val="365"/>
        </w:trPr>
        <w:tc>
          <w:tcPr>
            <w:tcW w:w="1959" w:type="dxa"/>
            <w:vMerge/>
            <w:tcBorders>
              <w:top w:val="single" w:sz="4" w:space="0" w:color="auto"/>
              <w:left w:val="single" w:sz="4" w:space="0" w:color="auto"/>
              <w:bottom w:val="single" w:sz="4" w:space="0" w:color="auto"/>
              <w:right w:val="single" w:sz="4" w:space="0" w:color="auto"/>
            </w:tcBorders>
            <w:vAlign w:val="center"/>
            <w:hideMark/>
          </w:tcPr>
          <w:p w14:paraId="19696B0D" w14:textId="77777777" w:rsidR="00156F01" w:rsidRPr="00156F01" w:rsidRDefault="00156F01" w:rsidP="00156F01">
            <w:pPr>
              <w:rPr>
                <w:b/>
                <w:bCs/>
              </w:rPr>
            </w:pPr>
          </w:p>
        </w:tc>
        <w:tc>
          <w:tcPr>
            <w:tcW w:w="80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C3C7F33" w14:textId="77777777" w:rsidR="00156F01" w:rsidRPr="00156F01" w:rsidRDefault="00156F01" w:rsidP="00156F01">
            <w:pPr>
              <w:jc w:val="center"/>
              <w:rPr>
                <w:b/>
                <w:bCs/>
              </w:rPr>
            </w:pPr>
            <w:r w:rsidRPr="00156F01">
              <w:rPr>
                <w:b/>
                <w:bCs/>
              </w:rPr>
              <w:t>1</w:t>
            </w:r>
          </w:p>
        </w:tc>
        <w:tc>
          <w:tcPr>
            <w:tcW w:w="734"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37E8D18C" w14:textId="77777777" w:rsidR="00156F01" w:rsidRPr="00156F01" w:rsidRDefault="00156F01" w:rsidP="00156F01">
            <w:pPr>
              <w:jc w:val="center"/>
              <w:rPr>
                <w:b/>
                <w:bCs/>
              </w:rPr>
            </w:pPr>
            <w:r w:rsidRPr="00156F01">
              <w:rPr>
                <w:b/>
                <w:bCs/>
              </w:rPr>
              <w:t>2</w:t>
            </w:r>
          </w:p>
        </w:tc>
        <w:tc>
          <w:tcPr>
            <w:tcW w:w="82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9BBB1CF" w14:textId="0D38AFA6" w:rsidR="00156F01" w:rsidRPr="00156F01" w:rsidRDefault="00156F01" w:rsidP="00156F01">
            <w:pPr>
              <w:jc w:val="center"/>
              <w:rPr>
                <w:b/>
                <w:bCs/>
              </w:rPr>
            </w:pPr>
            <w:r>
              <w:rPr>
                <w:b/>
                <w:bCs/>
              </w:rPr>
              <w:t>3</w:t>
            </w:r>
          </w:p>
        </w:tc>
        <w:tc>
          <w:tcPr>
            <w:tcW w:w="3326"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30A15D1E" w14:textId="77777777" w:rsidR="00156F01" w:rsidRPr="00156F01" w:rsidRDefault="00156F01" w:rsidP="00156F01">
            <w:pPr>
              <w:jc w:val="center"/>
              <w:rPr>
                <w:b/>
                <w:bCs/>
              </w:rPr>
            </w:pPr>
            <w:r w:rsidRPr="00156F01">
              <w:rPr>
                <w:b/>
                <w:bCs/>
              </w:rPr>
              <w:t>GTS ÜLKELERİ</w:t>
            </w:r>
          </w:p>
        </w:tc>
        <w:tc>
          <w:tcPr>
            <w:tcW w:w="145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97E18BF" w14:textId="4B23A0CA" w:rsidR="00156F01" w:rsidRPr="00156F01" w:rsidRDefault="00156F01" w:rsidP="00156F01">
            <w:pPr>
              <w:jc w:val="center"/>
              <w:rPr>
                <w:b/>
                <w:bCs/>
              </w:rPr>
            </w:pPr>
            <w:r>
              <w:rPr>
                <w:b/>
                <w:bCs/>
              </w:rPr>
              <w:t>7</w:t>
            </w:r>
          </w:p>
        </w:tc>
      </w:tr>
      <w:tr w:rsidR="00156F01" w:rsidRPr="00156F01" w14:paraId="6315BD9C" w14:textId="77777777" w:rsidTr="00156F01">
        <w:trPr>
          <w:trHeight w:val="327"/>
        </w:trPr>
        <w:tc>
          <w:tcPr>
            <w:tcW w:w="1959" w:type="dxa"/>
            <w:vMerge/>
            <w:tcBorders>
              <w:top w:val="single" w:sz="4" w:space="0" w:color="auto"/>
              <w:left w:val="single" w:sz="4" w:space="0" w:color="auto"/>
              <w:bottom w:val="single" w:sz="4" w:space="0" w:color="auto"/>
              <w:right w:val="single" w:sz="4" w:space="0" w:color="auto"/>
            </w:tcBorders>
            <w:vAlign w:val="center"/>
            <w:hideMark/>
          </w:tcPr>
          <w:p w14:paraId="44C6F064" w14:textId="77777777" w:rsidR="00156F01" w:rsidRPr="00156F01" w:rsidRDefault="00156F01" w:rsidP="00156F01">
            <w:pPr>
              <w:rPr>
                <w:b/>
                <w:bCs/>
              </w:rPr>
            </w:pPr>
          </w:p>
        </w:tc>
        <w:tc>
          <w:tcPr>
            <w:tcW w:w="806" w:type="dxa"/>
            <w:vMerge/>
            <w:tcBorders>
              <w:top w:val="single" w:sz="4" w:space="0" w:color="auto"/>
              <w:left w:val="single" w:sz="4" w:space="0" w:color="auto"/>
              <w:bottom w:val="single" w:sz="4" w:space="0" w:color="auto"/>
              <w:right w:val="single" w:sz="4" w:space="0" w:color="auto"/>
            </w:tcBorders>
            <w:vAlign w:val="center"/>
            <w:hideMark/>
          </w:tcPr>
          <w:p w14:paraId="1F00F3F6" w14:textId="77777777" w:rsidR="00156F01" w:rsidRPr="00156F01" w:rsidRDefault="00156F01" w:rsidP="00156F01">
            <w:pPr>
              <w:rPr>
                <w:b/>
                <w:bCs/>
              </w:rPr>
            </w:pPr>
          </w:p>
        </w:tc>
        <w:tc>
          <w:tcPr>
            <w:tcW w:w="734" w:type="dxa"/>
            <w:vMerge/>
            <w:tcBorders>
              <w:top w:val="single" w:sz="4" w:space="0" w:color="auto"/>
              <w:left w:val="single" w:sz="4" w:space="0" w:color="auto"/>
              <w:bottom w:val="single" w:sz="4" w:space="0" w:color="auto"/>
              <w:right w:val="single" w:sz="4" w:space="0" w:color="auto"/>
            </w:tcBorders>
            <w:vAlign w:val="center"/>
          </w:tcPr>
          <w:p w14:paraId="029BF0B9" w14:textId="77777777" w:rsidR="00156F01" w:rsidRPr="00156F01" w:rsidRDefault="00156F01" w:rsidP="00156F01">
            <w:pPr>
              <w:rPr>
                <w:b/>
                <w:bCs/>
              </w:rPr>
            </w:pPr>
          </w:p>
        </w:tc>
        <w:tc>
          <w:tcPr>
            <w:tcW w:w="827" w:type="dxa"/>
            <w:vMerge/>
            <w:tcBorders>
              <w:top w:val="single" w:sz="4" w:space="0" w:color="auto"/>
              <w:left w:val="single" w:sz="4" w:space="0" w:color="auto"/>
              <w:bottom w:val="single" w:sz="4" w:space="0" w:color="auto"/>
              <w:right w:val="single" w:sz="4" w:space="0" w:color="auto"/>
            </w:tcBorders>
            <w:vAlign w:val="center"/>
            <w:hideMark/>
          </w:tcPr>
          <w:p w14:paraId="336EA035" w14:textId="77777777" w:rsidR="00156F01" w:rsidRPr="00156F01" w:rsidRDefault="00156F01" w:rsidP="00156F01">
            <w:pPr>
              <w:rPr>
                <w:b/>
                <w:bCs/>
              </w:rPr>
            </w:pPr>
          </w:p>
        </w:tc>
        <w:tc>
          <w:tcPr>
            <w:tcW w:w="11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04D12C" w14:textId="5D6C6254" w:rsidR="00156F01" w:rsidRPr="00156F01" w:rsidRDefault="00156F01" w:rsidP="00156F01">
            <w:pPr>
              <w:jc w:val="center"/>
              <w:rPr>
                <w:b/>
                <w:bCs/>
              </w:rPr>
            </w:pPr>
            <w:r>
              <w:rPr>
                <w:b/>
                <w:bCs/>
              </w:rPr>
              <w:t>4</w:t>
            </w:r>
          </w:p>
        </w:tc>
        <w:tc>
          <w:tcPr>
            <w:tcW w:w="11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D94D23" w14:textId="1B117F5D" w:rsidR="00156F01" w:rsidRPr="00156F01" w:rsidRDefault="00156F01" w:rsidP="00156F01">
            <w:pPr>
              <w:jc w:val="center"/>
              <w:rPr>
                <w:b/>
                <w:bCs/>
              </w:rPr>
            </w:pPr>
            <w:r>
              <w:rPr>
                <w:b/>
                <w:bCs/>
              </w:rPr>
              <w:t>5</w:t>
            </w:r>
          </w:p>
        </w:tc>
        <w:tc>
          <w:tcPr>
            <w:tcW w:w="11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7134D9" w14:textId="242D2ED6" w:rsidR="00156F01" w:rsidRPr="00156F01" w:rsidRDefault="00156F01" w:rsidP="00156F01">
            <w:pPr>
              <w:jc w:val="center"/>
              <w:rPr>
                <w:b/>
                <w:bCs/>
              </w:rPr>
            </w:pPr>
            <w:r>
              <w:rPr>
                <w:b/>
                <w:bCs/>
              </w:rPr>
              <w:t>6</w:t>
            </w:r>
          </w:p>
        </w:tc>
        <w:tc>
          <w:tcPr>
            <w:tcW w:w="145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A05297E" w14:textId="77777777" w:rsidR="00156F01" w:rsidRPr="00156F01" w:rsidRDefault="00156F01" w:rsidP="00156F01">
            <w:pPr>
              <w:rPr>
                <w:b/>
                <w:bCs/>
              </w:rPr>
            </w:pPr>
          </w:p>
        </w:tc>
      </w:tr>
      <w:tr w:rsidR="00156F01" w:rsidRPr="00156F01" w14:paraId="6DD01551" w14:textId="77777777" w:rsidTr="00156F01">
        <w:trPr>
          <w:trHeight w:val="440"/>
        </w:trPr>
        <w:tc>
          <w:tcPr>
            <w:tcW w:w="19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17E6A8" w14:textId="77777777" w:rsidR="00156F01" w:rsidRPr="00156F01" w:rsidRDefault="00156F01" w:rsidP="00156F01">
            <w:pPr>
              <w:jc w:val="center"/>
            </w:pPr>
            <w:r w:rsidRPr="00156F01">
              <w:t xml:space="preserve">55.13  </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F8A4D5" w14:textId="77777777" w:rsidR="00156F01" w:rsidRPr="00156F01" w:rsidRDefault="00156F01" w:rsidP="00156F01">
            <w:pPr>
              <w:jc w:val="center"/>
            </w:pPr>
            <w:r w:rsidRPr="00156F01">
              <w:t>0</w:t>
            </w:r>
          </w:p>
        </w:tc>
        <w:tc>
          <w:tcPr>
            <w:tcW w:w="734" w:type="dxa"/>
            <w:tcBorders>
              <w:top w:val="single" w:sz="4" w:space="0" w:color="auto"/>
              <w:left w:val="single" w:sz="4" w:space="0" w:color="auto"/>
              <w:bottom w:val="single" w:sz="4" w:space="0" w:color="auto"/>
              <w:right w:val="single" w:sz="4" w:space="0" w:color="auto"/>
            </w:tcBorders>
            <w:shd w:val="clear" w:color="auto" w:fill="auto"/>
            <w:vAlign w:val="center"/>
          </w:tcPr>
          <w:p w14:paraId="64D84523" w14:textId="77777777" w:rsidR="00156F01" w:rsidRPr="00156F01" w:rsidRDefault="00156F01" w:rsidP="00156F01">
            <w:pPr>
              <w:jc w:val="center"/>
            </w:pPr>
            <w:r w:rsidRPr="00156F01">
              <w:t>1,1</w:t>
            </w:r>
          </w:p>
        </w:tc>
        <w:tc>
          <w:tcPr>
            <w:tcW w:w="8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E12DAC" w14:textId="77777777" w:rsidR="00156F01" w:rsidRPr="00156F01" w:rsidRDefault="00156F01" w:rsidP="00156F01">
            <w:pPr>
              <w:jc w:val="center"/>
            </w:pPr>
            <w:r w:rsidRPr="00156F01">
              <w:t>0</w:t>
            </w:r>
          </w:p>
        </w:tc>
        <w:tc>
          <w:tcPr>
            <w:tcW w:w="11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A21724" w14:textId="77777777" w:rsidR="00156F01" w:rsidRPr="00156F01" w:rsidRDefault="00156F01" w:rsidP="00156F01">
            <w:pPr>
              <w:jc w:val="center"/>
            </w:pPr>
            <w:r w:rsidRPr="00156F01">
              <w:t>0</w:t>
            </w:r>
          </w:p>
        </w:tc>
        <w:tc>
          <w:tcPr>
            <w:tcW w:w="11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5EC35B" w14:textId="77777777" w:rsidR="00156F01" w:rsidRPr="00156F01" w:rsidRDefault="00156F01" w:rsidP="00156F01">
            <w:pPr>
              <w:jc w:val="center"/>
            </w:pPr>
            <w:r w:rsidRPr="00156F01">
              <w:t>0</w:t>
            </w:r>
          </w:p>
        </w:tc>
        <w:tc>
          <w:tcPr>
            <w:tcW w:w="11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793687" w14:textId="77777777" w:rsidR="00156F01" w:rsidRPr="00156F01" w:rsidRDefault="00156F01" w:rsidP="00156F01">
            <w:pPr>
              <w:jc w:val="center"/>
            </w:pPr>
            <w:r w:rsidRPr="00156F01">
              <w:t>6,4</w:t>
            </w:r>
          </w:p>
        </w:tc>
        <w:tc>
          <w:tcPr>
            <w:tcW w:w="145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2DA2EC" w14:textId="77777777" w:rsidR="00156F01" w:rsidRPr="00156F01" w:rsidRDefault="00156F01" w:rsidP="00156F01">
            <w:pPr>
              <w:jc w:val="center"/>
            </w:pPr>
            <w:r w:rsidRPr="00156F01">
              <w:t>8</w:t>
            </w:r>
          </w:p>
        </w:tc>
      </w:tr>
      <w:tr w:rsidR="00156F01" w:rsidRPr="00156F01" w14:paraId="02A5213A" w14:textId="77777777" w:rsidTr="00156F01">
        <w:trPr>
          <w:trHeight w:val="440"/>
        </w:trPr>
        <w:tc>
          <w:tcPr>
            <w:tcW w:w="1959" w:type="dxa"/>
            <w:tcBorders>
              <w:top w:val="single" w:sz="4" w:space="0" w:color="auto"/>
              <w:left w:val="single" w:sz="4" w:space="0" w:color="auto"/>
              <w:bottom w:val="single" w:sz="4" w:space="0" w:color="auto"/>
              <w:right w:val="single" w:sz="4" w:space="0" w:color="auto"/>
            </w:tcBorders>
            <w:shd w:val="clear" w:color="auto" w:fill="auto"/>
            <w:vAlign w:val="center"/>
          </w:tcPr>
          <w:p w14:paraId="62CEBF9B" w14:textId="77777777" w:rsidR="00156F01" w:rsidRPr="00156F01" w:rsidRDefault="00156F01" w:rsidP="00156F01">
            <w:pPr>
              <w:jc w:val="center"/>
            </w:pPr>
            <w:r w:rsidRPr="00156F01">
              <w:t>55.14*</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30998ED4" w14:textId="77777777" w:rsidR="00156F01" w:rsidRPr="00156F01" w:rsidRDefault="00156F01" w:rsidP="00156F01">
            <w:pPr>
              <w:jc w:val="center"/>
            </w:pPr>
            <w:r w:rsidRPr="00156F01">
              <w:t>0</w:t>
            </w:r>
          </w:p>
        </w:tc>
        <w:tc>
          <w:tcPr>
            <w:tcW w:w="734" w:type="dxa"/>
            <w:tcBorders>
              <w:top w:val="single" w:sz="4" w:space="0" w:color="auto"/>
              <w:left w:val="single" w:sz="4" w:space="0" w:color="auto"/>
              <w:bottom w:val="single" w:sz="4" w:space="0" w:color="auto"/>
              <w:right w:val="single" w:sz="4" w:space="0" w:color="auto"/>
            </w:tcBorders>
            <w:shd w:val="clear" w:color="auto" w:fill="auto"/>
            <w:vAlign w:val="center"/>
          </w:tcPr>
          <w:p w14:paraId="0E09159D" w14:textId="77777777" w:rsidR="00156F01" w:rsidRPr="00156F01" w:rsidRDefault="00156F01" w:rsidP="00156F01">
            <w:pPr>
              <w:jc w:val="center"/>
            </w:pPr>
            <w:r w:rsidRPr="00156F01">
              <w:t>1,1</w:t>
            </w:r>
          </w:p>
        </w:tc>
        <w:tc>
          <w:tcPr>
            <w:tcW w:w="827" w:type="dxa"/>
            <w:tcBorders>
              <w:top w:val="single" w:sz="4" w:space="0" w:color="auto"/>
              <w:left w:val="single" w:sz="4" w:space="0" w:color="auto"/>
              <w:bottom w:val="single" w:sz="4" w:space="0" w:color="auto"/>
              <w:right w:val="single" w:sz="4" w:space="0" w:color="auto"/>
            </w:tcBorders>
            <w:shd w:val="clear" w:color="auto" w:fill="auto"/>
            <w:vAlign w:val="center"/>
          </w:tcPr>
          <w:p w14:paraId="0D8EDD2A" w14:textId="77777777" w:rsidR="00156F01" w:rsidRPr="00156F01" w:rsidRDefault="00156F01" w:rsidP="00156F01">
            <w:pPr>
              <w:jc w:val="center"/>
            </w:pPr>
            <w:r w:rsidRPr="00156F01">
              <w:t>0</w:t>
            </w:r>
          </w:p>
        </w:tc>
        <w:tc>
          <w:tcPr>
            <w:tcW w:w="1106" w:type="dxa"/>
            <w:tcBorders>
              <w:top w:val="single" w:sz="4" w:space="0" w:color="auto"/>
              <w:left w:val="single" w:sz="4" w:space="0" w:color="auto"/>
              <w:bottom w:val="single" w:sz="4" w:space="0" w:color="auto"/>
              <w:right w:val="single" w:sz="4" w:space="0" w:color="auto"/>
            </w:tcBorders>
            <w:shd w:val="clear" w:color="auto" w:fill="auto"/>
            <w:vAlign w:val="center"/>
          </w:tcPr>
          <w:p w14:paraId="3CC73F6B" w14:textId="77777777" w:rsidR="00156F01" w:rsidRPr="00156F01" w:rsidRDefault="00156F01" w:rsidP="00156F01">
            <w:pPr>
              <w:jc w:val="center"/>
            </w:pPr>
            <w:r w:rsidRPr="00156F01">
              <w:t>0</w:t>
            </w:r>
          </w:p>
        </w:tc>
        <w:tc>
          <w:tcPr>
            <w:tcW w:w="1106" w:type="dxa"/>
            <w:tcBorders>
              <w:top w:val="single" w:sz="4" w:space="0" w:color="auto"/>
              <w:left w:val="single" w:sz="4" w:space="0" w:color="auto"/>
              <w:bottom w:val="single" w:sz="4" w:space="0" w:color="auto"/>
              <w:right w:val="single" w:sz="4" w:space="0" w:color="auto"/>
            </w:tcBorders>
            <w:shd w:val="clear" w:color="auto" w:fill="auto"/>
            <w:vAlign w:val="center"/>
          </w:tcPr>
          <w:p w14:paraId="42D8B753" w14:textId="77777777" w:rsidR="00156F01" w:rsidRPr="00156F01" w:rsidRDefault="00156F01" w:rsidP="00156F01">
            <w:pPr>
              <w:jc w:val="center"/>
            </w:pPr>
            <w:r w:rsidRPr="00156F01">
              <w:t>0</w:t>
            </w:r>
          </w:p>
        </w:tc>
        <w:tc>
          <w:tcPr>
            <w:tcW w:w="1114" w:type="dxa"/>
            <w:tcBorders>
              <w:top w:val="single" w:sz="4" w:space="0" w:color="auto"/>
              <w:left w:val="single" w:sz="4" w:space="0" w:color="auto"/>
              <w:bottom w:val="single" w:sz="4" w:space="0" w:color="auto"/>
              <w:right w:val="single" w:sz="4" w:space="0" w:color="auto"/>
            </w:tcBorders>
            <w:shd w:val="clear" w:color="auto" w:fill="auto"/>
            <w:vAlign w:val="center"/>
          </w:tcPr>
          <w:p w14:paraId="0EFDC19F" w14:textId="77777777" w:rsidR="00156F01" w:rsidRPr="00156F01" w:rsidRDefault="00156F01" w:rsidP="00156F01">
            <w:pPr>
              <w:jc w:val="center"/>
            </w:pPr>
            <w:r w:rsidRPr="00156F01">
              <w:t>6,4</w:t>
            </w:r>
          </w:p>
        </w:tc>
        <w:tc>
          <w:tcPr>
            <w:tcW w:w="1457" w:type="dxa"/>
            <w:tcBorders>
              <w:top w:val="single" w:sz="4" w:space="0" w:color="auto"/>
              <w:left w:val="single" w:sz="4" w:space="0" w:color="auto"/>
              <w:bottom w:val="single" w:sz="4" w:space="0" w:color="auto"/>
              <w:right w:val="single" w:sz="4" w:space="0" w:color="auto"/>
            </w:tcBorders>
            <w:shd w:val="clear" w:color="auto" w:fill="auto"/>
            <w:vAlign w:val="center"/>
          </w:tcPr>
          <w:p w14:paraId="37F9BBC4" w14:textId="77777777" w:rsidR="00156F01" w:rsidRPr="00156F01" w:rsidRDefault="00156F01" w:rsidP="00156F01">
            <w:pPr>
              <w:jc w:val="center"/>
            </w:pPr>
            <w:r w:rsidRPr="00156F01">
              <w:t>8</w:t>
            </w:r>
          </w:p>
        </w:tc>
      </w:tr>
      <w:tr w:rsidR="00156F01" w:rsidRPr="00156F01" w14:paraId="1D9BCA9C" w14:textId="77777777" w:rsidTr="00156F01">
        <w:trPr>
          <w:trHeight w:val="440"/>
        </w:trPr>
        <w:tc>
          <w:tcPr>
            <w:tcW w:w="1959" w:type="dxa"/>
            <w:tcBorders>
              <w:top w:val="single" w:sz="4" w:space="0" w:color="auto"/>
              <w:left w:val="single" w:sz="4" w:space="0" w:color="auto"/>
              <w:bottom w:val="single" w:sz="4" w:space="0" w:color="auto"/>
              <w:right w:val="single" w:sz="4" w:space="0" w:color="auto"/>
            </w:tcBorders>
            <w:shd w:val="clear" w:color="auto" w:fill="auto"/>
            <w:vAlign w:val="center"/>
          </w:tcPr>
          <w:p w14:paraId="13F86B71" w14:textId="77777777" w:rsidR="00156F01" w:rsidRPr="00156F01" w:rsidRDefault="00156F01" w:rsidP="00156F01">
            <w:pPr>
              <w:jc w:val="center"/>
            </w:pPr>
            <w:r w:rsidRPr="00156F01">
              <w:t>55.15</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3C3E7877" w14:textId="77777777" w:rsidR="00156F01" w:rsidRPr="00156F01" w:rsidRDefault="00156F01" w:rsidP="00156F01">
            <w:pPr>
              <w:jc w:val="center"/>
            </w:pPr>
            <w:r w:rsidRPr="00156F01">
              <w:t>0</w:t>
            </w:r>
          </w:p>
        </w:tc>
        <w:tc>
          <w:tcPr>
            <w:tcW w:w="734" w:type="dxa"/>
            <w:tcBorders>
              <w:top w:val="single" w:sz="4" w:space="0" w:color="auto"/>
              <w:left w:val="single" w:sz="4" w:space="0" w:color="auto"/>
              <w:bottom w:val="single" w:sz="4" w:space="0" w:color="auto"/>
              <w:right w:val="single" w:sz="4" w:space="0" w:color="auto"/>
            </w:tcBorders>
            <w:shd w:val="clear" w:color="auto" w:fill="auto"/>
            <w:vAlign w:val="center"/>
          </w:tcPr>
          <w:p w14:paraId="43A0305E" w14:textId="77777777" w:rsidR="00156F01" w:rsidRPr="00156F01" w:rsidRDefault="00156F01" w:rsidP="00156F01">
            <w:pPr>
              <w:jc w:val="center"/>
            </w:pPr>
            <w:r w:rsidRPr="00156F01">
              <w:t>1,1</w:t>
            </w:r>
          </w:p>
        </w:tc>
        <w:tc>
          <w:tcPr>
            <w:tcW w:w="827" w:type="dxa"/>
            <w:tcBorders>
              <w:top w:val="single" w:sz="4" w:space="0" w:color="auto"/>
              <w:left w:val="single" w:sz="4" w:space="0" w:color="auto"/>
              <w:bottom w:val="single" w:sz="4" w:space="0" w:color="auto"/>
              <w:right w:val="single" w:sz="4" w:space="0" w:color="auto"/>
            </w:tcBorders>
            <w:shd w:val="clear" w:color="auto" w:fill="auto"/>
            <w:vAlign w:val="center"/>
          </w:tcPr>
          <w:p w14:paraId="736C5665" w14:textId="77777777" w:rsidR="00156F01" w:rsidRPr="00156F01" w:rsidRDefault="00156F01" w:rsidP="00156F01">
            <w:pPr>
              <w:jc w:val="center"/>
            </w:pPr>
            <w:r w:rsidRPr="00156F01">
              <w:t>0</w:t>
            </w:r>
          </w:p>
        </w:tc>
        <w:tc>
          <w:tcPr>
            <w:tcW w:w="1106" w:type="dxa"/>
            <w:tcBorders>
              <w:top w:val="single" w:sz="4" w:space="0" w:color="auto"/>
              <w:left w:val="single" w:sz="4" w:space="0" w:color="auto"/>
              <w:bottom w:val="single" w:sz="4" w:space="0" w:color="auto"/>
              <w:right w:val="single" w:sz="4" w:space="0" w:color="auto"/>
            </w:tcBorders>
            <w:shd w:val="clear" w:color="auto" w:fill="auto"/>
            <w:vAlign w:val="center"/>
          </w:tcPr>
          <w:p w14:paraId="1E3B4F23" w14:textId="77777777" w:rsidR="00156F01" w:rsidRPr="00156F01" w:rsidRDefault="00156F01" w:rsidP="00156F01">
            <w:pPr>
              <w:jc w:val="center"/>
            </w:pPr>
            <w:r w:rsidRPr="00156F01">
              <w:t>0</w:t>
            </w:r>
          </w:p>
        </w:tc>
        <w:tc>
          <w:tcPr>
            <w:tcW w:w="1106" w:type="dxa"/>
            <w:tcBorders>
              <w:top w:val="single" w:sz="4" w:space="0" w:color="auto"/>
              <w:left w:val="single" w:sz="4" w:space="0" w:color="auto"/>
              <w:bottom w:val="single" w:sz="4" w:space="0" w:color="auto"/>
              <w:right w:val="single" w:sz="4" w:space="0" w:color="auto"/>
            </w:tcBorders>
            <w:shd w:val="clear" w:color="auto" w:fill="auto"/>
            <w:vAlign w:val="center"/>
          </w:tcPr>
          <w:p w14:paraId="6457C1A9" w14:textId="77777777" w:rsidR="00156F01" w:rsidRPr="00156F01" w:rsidRDefault="00156F01" w:rsidP="00156F01">
            <w:pPr>
              <w:jc w:val="center"/>
            </w:pPr>
            <w:r w:rsidRPr="00156F01">
              <w:t>0</w:t>
            </w:r>
          </w:p>
        </w:tc>
        <w:tc>
          <w:tcPr>
            <w:tcW w:w="1114" w:type="dxa"/>
            <w:tcBorders>
              <w:top w:val="single" w:sz="4" w:space="0" w:color="auto"/>
              <w:left w:val="single" w:sz="4" w:space="0" w:color="auto"/>
              <w:bottom w:val="single" w:sz="4" w:space="0" w:color="auto"/>
              <w:right w:val="single" w:sz="4" w:space="0" w:color="auto"/>
            </w:tcBorders>
            <w:shd w:val="clear" w:color="auto" w:fill="auto"/>
            <w:vAlign w:val="center"/>
          </w:tcPr>
          <w:p w14:paraId="15AD6955" w14:textId="77777777" w:rsidR="00156F01" w:rsidRPr="00156F01" w:rsidRDefault="00156F01" w:rsidP="00156F01">
            <w:pPr>
              <w:jc w:val="center"/>
            </w:pPr>
            <w:r w:rsidRPr="00156F01">
              <w:t>6,4</w:t>
            </w:r>
          </w:p>
        </w:tc>
        <w:tc>
          <w:tcPr>
            <w:tcW w:w="1457" w:type="dxa"/>
            <w:tcBorders>
              <w:top w:val="single" w:sz="4" w:space="0" w:color="auto"/>
              <w:left w:val="single" w:sz="4" w:space="0" w:color="auto"/>
              <w:bottom w:val="single" w:sz="4" w:space="0" w:color="auto"/>
              <w:right w:val="single" w:sz="4" w:space="0" w:color="auto"/>
            </w:tcBorders>
            <w:shd w:val="clear" w:color="auto" w:fill="auto"/>
            <w:vAlign w:val="center"/>
          </w:tcPr>
          <w:p w14:paraId="38AE9BCD" w14:textId="77777777" w:rsidR="00156F01" w:rsidRPr="00156F01" w:rsidRDefault="00156F01" w:rsidP="00156F01">
            <w:pPr>
              <w:jc w:val="center"/>
            </w:pPr>
            <w:r w:rsidRPr="00156F01">
              <w:t>8</w:t>
            </w:r>
          </w:p>
        </w:tc>
      </w:tr>
      <w:tr w:rsidR="00156F01" w:rsidRPr="00156F01" w14:paraId="33C1A534" w14:textId="77777777" w:rsidTr="00156F01">
        <w:trPr>
          <w:trHeight w:val="440"/>
        </w:trPr>
        <w:tc>
          <w:tcPr>
            <w:tcW w:w="1959" w:type="dxa"/>
            <w:tcBorders>
              <w:top w:val="single" w:sz="4" w:space="0" w:color="auto"/>
              <w:left w:val="single" w:sz="4" w:space="0" w:color="auto"/>
              <w:bottom w:val="single" w:sz="4" w:space="0" w:color="auto"/>
              <w:right w:val="single" w:sz="4" w:space="0" w:color="auto"/>
            </w:tcBorders>
            <w:shd w:val="clear" w:color="auto" w:fill="auto"/>
            <w:vAlign w:val="center"/>
          </w:tcPr>
          <w:p w14:paraId="7CB892EB" w14:textId="77777777" w:rsidR="00156F01" w:rsidRPr="00156F01" w:rsidRDefault="00156F01" w:rsidP="00156F01">
            <w:pPr>
              <w:jc w:val="center"/>
            </w:pPr>
            <w:r w:rsidRPr="00156F01">
              <w:t>55.16</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4FE92FD1" w14:textId="77777777" w:rsidR="00156F01" w:rsidRPr="00156F01" w:rsidRDefault="00156F01" w:rsidP="00156F01">
            <w:pPr>
              <w:jc w:val="center"/>
            </w:pPr>
            <w:r w:rsidRPr="00156F01">
              <w:t>0</w:t>
            </w:r>
          </w:p>
        </w:tc>
        <w:tc>
          <w:tcPr>
            <w:tcW w:w="734" w:type="dxa"/>
            <w:tcBorders>
              <w:top w:val="single" w:sz="4" w:space="0" w:color="auto"/>
              <w:left w:val="single" w:sz="4" w:space="0" w:color="auto"/>
              <w:bottom w:val="single" w:sz="4" w:space="0" w:color="auto"/>
              <w:right w:val="single" w:sz="4" w:space="0" w:color="auto"/>
            </w:tcBorders>
            <w:shd w:val="clear" w:color="auto" w:fill="auto"/>
            <w:vAlign w:val="center"/>
          </w:tcPr>
          <w:p w14:paraId="3FDC34E0" w14:textId="77777777" w:rsidR="00156F01" w:rsidRPr="00156F01" w:rsidRDefault="00156F01" w:rsidP="00156F01">
            <w:pPr>
              <w:jc w:val="center"/>
            </w:pPr>
            <w:r w:rsidRPr="00156F01">
              <w:t>1,1</w:t>
            </w:r>
          </w:p>
        </w:tc>
        <w:tc>
          <w:tcPr>
            <w:tcW w:w="827" w:type="dxa"/>
            <w:tcBorders>
              <w:top w:val="single" w:sz="4" w:space="0" w:color="auto"/>
              <w:left w:val="single" w:sz="4" w:space="0" w:color="auto"/>
              <w:bottom w:val="single" w:sz="4" w:space="0" w:color="auto"/>
              <w:right w:val="single" w:sz="4" w:space="0" w:color="auto"/>
            </w:tcBorders>
            <w:shd w:val="clear" w:color="auto" w:fill="auto"/>
            <w:vAlign w:val="center"/>
          </w:tcPr>
          <w:p w14:paraId="7DE547F1" w14:textId="77777777" w:rsidR="00156F01" w:rsidRPr="00156F01" w:rsidRDefault="00156F01" w:rsidP="00156F01">
            <w:pPr>
              <w:jc w:val="center"/>
            </w:pPr>
            <w:r w:rsidRPr="00156F01">
              <w:t>0</w:t>
            </w:r>
          </w:p>
        </w:tc>
        <w:tc>
          <w:tcPr>
            <w:tcW w:w="1106" w:type="dxa"/>
            <w:tcBorders>
              <w:top w:val="single" w:sz="4" w:space="0" w:color="auto"/>
              <w:left w:val="single" w:sz="4" w:space="0" w:color="auto"/>
              <w:bottom w:val="single" w:sz="4" w:space="0" w:color="auto"/>
              <w:right w:val="single" w:sz="4" w:space="0" w:color="auto"/>
            </w:tcBorders>
            <w:shd w:val="clear" w:color="auto" w:fill="auto"/>
            <w:vAlign w:val="center"/>
          </w:tcPr>
          <w:p w14:paraId="6005EF32" w14:textId="77777777" w:rsidR="00156F01" w:rsidRPr="00156F01" w:rsidRDefault="00156F01" w:rsidP="00156F01">
            <w:pPr>
              <w:jc w:val="center"/>
            </w:pPr>
            <w:r w:rsidRPr="00156F01">
              <w:t>0</w:t>
            </w:r>
          </w:p>
        </w:tc>
        <w:tc>
          <w:tcPr>
            <w:tcW w:w="1106" w:type="dxa"/>
            <w:tcBorders>
              <w:top w:val="single" w:sz="4" w:space="0" w:color="auto"/>
              <w:left w:val="single" w:sz="4" w:space="0" w:color="auto"/>
              <w:bottom w:val="single" w:sz="4" w:space="0" w:color="auto"/>
              <w:right w:val="single" w:sz="4" w:space="0" w:color="auto"/>
            </w:tcBorders>
            <w:shd w:val="clear" w:color="auto" w:fill="auto"/>
            <w:vAlign w:val="center"/>
          </w:tcPr>
          <w:p w14:paraId="5EB63ABD" w14:textId="77777777" w:rsidR="00156F01" w:rsidRPr="00156F01" w:rsidRDefault="00156F01" w:rsidP="00156F01">
            <w:pPr>
              <w:jc w:val="center"/>
            </w:pPr>
            <w:r w:rsidRPr="00156F01">
              <w:t>0</w:t>
            </w:r>
          </w:p>
        </w:tc>
        <w:tc>
          <w:tcPr>
            <w:tcW w:w="1114" w:type="dxa"/>
            <w:tcBorders>
              <w:top w:val="single" w:sz="4" w:space="0" w:color="auto"/>
              <w:left w:val="single" w:sz="4" w:space="0" w:color="auto"/>
              <w:bottom w:val="single" w:sz="4" w:space="0" w:color="auto"/>
              <w:right w:val="single" w:sz="4" w:space="0" w:color="auto"/>
            </w:tcBorders>
            <w:shd w:val="clear" w:color="auto" w:fill="auto"/>
            <w:vAlign w:val="center"/>
          </w:tcPr>
          <w:p w14:paraId="0FF83BE1" w14:textId="77777777" w:rsidR="00156F01" w:rsidRPr="00156F01" w:rsidRDefault="00156F01" w:rsidP="00156F01">
            <w:pPr>
              <w:jc w:val="center"/>
            </w:pPr>
            <w:r w:rsidRPr="00156F01">
              <w:t>6,4</w:t>
            </w:r>
          </w:p>
        </w:tc>
        <w:tc>
          <w:tcPr>
            <w:tcW w:w="1457" w:type="dxa"/>
            <w:tcBorders>
              <w:top w:val="single" w:sz="4" w:space="0" w:color="auto"/>
              <w:left w:val="single" w:sz="4" w:space="0" w:color="auto"/>
              <w:bottom w:val="single" w:sz="4" w:space="0" w:color="auto"/>
              <w:right w:val="single" w:sz="4" w:space="0" w:color="auto"/>
            </w:tcBorders>
            <w:shd w:val="clear" w:color="auto" w:fill="auto"/>
            <w:vAlign w:val="center"/>
          </w:tcPr>
          <w:p w14:paraId="411DEAB3" w14:textId="77777777" w:rsidR="00156F01" w:rsidRPr="00156F01" w:rsidRDefault="00156F01" w:rsidP="00156F01">
            <w:pPr>
              <w:jc w:val="center"/>
            </w:pPr>
            <w:r w:rsidRPr="00156F01">
              <w:t>8</w:t>
            </w:r>
          </w:p>
        </w:tc>
      </w:tr>
    </w:tbl>
    <w:p w14:paraId="0F73760C" w14:textId="77777777" w:rsidR="00156F01" w:rsidRPr="00156F01" w:rsidRDefault="00156F01" w:rsidP="00156F01">
      <w:pPr>
        <w:spacing w:before="120" w:after="120"/>
        <w:jc w:val="both"/>
        <w:rPr>
          <w:sz w:val="18"/>
        </w:rPr>
      </w:pPr>
      <w:r w:rsidRPr="00156F01">
        <w:rPr>
          <w:b/>
          <w:sz w:val="18"/>
        </w:rPr>
        <w:t>Kaynak:</w:t>
      </w:r>
      <w:r w:rsidRPr="00156F01">
        <w:rPr>
          <w:sz w:val="18"/>
        </w:rPr>
        <w:t xml:space="preserve"> 2025 Yılı İthalat Rejimi Kararı</w:t>
      </w:r>
    </w:p>
    <w:p w14:paraId="5B845FC8" w14:textId="4384165C" w:rsidR="00156F01" w:rsidRPr="00156F01" w:rsidRDefault="00156F01" w:rsidP="00156F01">
      <w:pPr>
        <w:spacing w:before="120" w:after="120"/>
        <w:jc w:val="both"/>
        <w:rPr>
          <w:sz w:val="18"/>
        </w:rPr>
      </w:pPr>
      <w:r w:rsidRPr="00156F01">
        <w:rPr>
          <w:sz w:val="18"/>
        </w:rPr>
        <w:t xml:space="preserve">1: AB Üyesi Ülkeler, EFTA Üyesi Ülkeler, Serbest Ticaret Anlaşması Ülkeleri: Arnavutluk, Büyük Britanya ve Kuzey İrlanda Birleşik Krallığı, Bosna-Hersek, Fas, Faroe Adaları, Filistin, Gürcistan, </w:t>
      </w:r>
      <w:r w:rsidR="009A3BEF">
        <w:rPr>
          <w:sz w:val="18"/>
        </w:rPr>
        <w:t xml:space="preserve">Güney Kore, </w:t>
      </w:r>
      <w:r w:rsidRPr="00156F01">
        <w:rPr>
          <w:sz w:val="18"/>
        </w:rPr>
        <w:t xml:space="preserve">İsrail, Karadağ, Kosova, Kuzey Makedonya Cumhuriyeti, Malezya, Mısır Arap Cumhuriyeti, </w:t>
      </w:r>
      <w:proofErr w:type="spellStart"/>
      <w:r w:rsidRPr="00156F01">
        <w:rPr>
          <w:sz w:val="18"/>
        </w:rPr>
        <w:t>Morityus</w:t>
      </w:r>
      <w:proofErr w:type="spellEnd"/>
      <w:r w:rsidRPr="00156F01">
        <w:rPr>
          <w:sz w:val="18"/>
        </w:rPr>
        <w:t>, Moldova, Sırbistan, Singapur Cumhuriyeti, Şili, Tunus. 2:</w:t>
      </w:r>
      <w:r w:rsidR="009A3BEF">
        <w:rPr>
          <w:sz w:val="18"/>
        </w:rPr>
        <w:t xml:space="preserve"> </w:t>
      </w:r>
      <w:proofErr w:type="spellStart"/>
      <w:r w:rsidRPr="00156F01">
        <w:rPr>
          <w:sz w:val="18"/>
        </w:rPr>
        <w:t>Bolivarcı</w:t>
      </w:r>
      <w:proofErr w:type="spellEnd"/>
      <w:r w:rsidRPr="00156F01">
        <w:rPr>
          <w:sz w:val="18"/>
        </w:rPr>
        <w:t xml:space="preserve"> Venezuela Cumhuriyeti. 3: Birleşik Arap Emirlikleri</w:t>
      </w:r>
      <w:r w:rsidR="009A3BEF">
        <w:rPr>
          <w:sz w:val="18"/>
        </w:rPr>
        <w:t>, GTS Ülkeleri: Mer’i İthalat Rejimi Kararı Ek-1’de yer alan Genelleştirilmiş Tercihler Sisteminden Yararlanacak Ülkeler</w:t>
      </w:r>
      <w:r w:rsidRPr="00156F01">
        <w:rPr>
          <w:sz w:val="18"/>
        </w:rPr>
        <w:t xml:space="preserve"> 4: En Az Gelişmiş Ülkeler. 5: Özel Teşvik Düzenlemelerinden Yararlanacak Ülkeler. 6: Gelişme Yolundaki Ülkeler. 7: Diğer Ülkeler</w:t>
      </w:r>
    </w:p>
    <w:p w14:paraId="005B690E" w14:textId="3C213AA2" w:rsidR="00156F01" w:rsidRDefault="00156F01" w:rsidP="00156F01">
      <w:pPr>
        <w:spacing w:before="120" w:after="120"/>
        <w:jc w:val="both"/>
        <w:rPr>
          <w:sz w:val="18"/>
        </w:rPr>
      </w:pPr>
      <w:r w:rsidRPr="00156F01">
        <w:rPr>
          <w:sz w:val="18"/>
        </w:rPr>
        <w:t xml:space="preserve">* </w:t>
      </w:r>
      <w:proofErr w:type="spellStart"/>
      <w:r w:rsidRPr="00156F01">
        <w:rPr>
          <w:sz w:val="18"/>
        </w:rPr>
        <w:t>Bolivarcı</w:t>
      </w:r>
      <w:proofErr w:type="spellEnd"/>
      <w:r w:rsidRPr="00156F01">
        <w:rPr>
          <w:sz w:val="18"/>
        </w:rPr>
        <w:t xml:space="preserve"> Venezuela Cumhuriyeti menşeli 5514.42.00.00.00 ve 5514.43.00.00.00 </w:t>
      </w:r>
      <w:proofErr w:type="spellStart"/>
      <w:r w:rsidRPr="00156F01">
        <w:rPr>
          <w:sz w:val="18"/>
        </w:rPr>
        <w:t>GTİP’leri</w:t>
      </w:r>
      <w:proofErr w:type="spellEnd"/>
      <w:r w:rsidRPr="00156F01">
        <w:rPr>
          <w:sz w:val="18"/>
        </w:rPr>
        <w:t xml:space="preserve"> için %0 oranında gümrük vergisi yürürlüktedir.</w:t>
      </w:r>
    </w:p>
    <w:p w14:paraId="61D321C1" w14:textId="28C731A0" w:rsidR="00DA45B4" w:rsidRPr="00DC626C" w:rsidRDefault="00DA45B4" w:rsidP="00156F01">
      <w:pPr>
        <w:spacing w:before="120" w:after="120"/>
        <w:jc w:val="both"/>
        <w:rPr>
          <w:color w:val="000000"/>
        </w:rPr>
      </w:pPr>
      <w:r w:rsidRPr="00DC626C">
        <w:rPr>
          <w:color w:val="000000"/>
        </w:rPr>
        <w:t>(2) Soruşturma konusu ürün ithalatında 31/12/2024 tarihli</w:t>
      </w:r>
      <w:r w:rsidR="0040748D">
        <w:rPr>
          <w:color w:val="000000"/>
        </w:rPr>
        <w:t xml:space="preserve"> ve</w:t>
      </w:r>
      <w:r w:rsidRPr="00DC626C">
        <w:rPr>
          <w:color w:val="000000"/>
        </w:rPr>
        <w:t xml:space="preserve"> 9392 sayılı Cumhurbaşkanı Kararı ile yürürlüğe konulan </w:t>
      </w:r>
      <w:r w:rsidR="00127D97" w:rsidRPr="00127D97">
        <w:rPr>
          <w:color w:val="000000"/>
        </w:rPr>
        <w:t>İthalatta İlave Gümrük Vergisi Uygulanmasına İlişkin Kararda Değişiklik Yapılmasına Dair Karar</w:t>
      </w:r>
      <w:r w:rsidR="00127D97">
        <w:rPr>
          <w:color w:val="000000"/>
        </w:rPr>
        <w:t xml:space="preserve"> uyarınca %27 oranında ilave gümrük vergisi (İGV) yürürlüğe konulmuştur.</w:t>
      </w:r>
    </w:p>
    <w:p w14:paraId="4FEB2F29" w14:textId="1825C8AA" w:rsidR="00DC4E0C" w:rsidRPr="00156F01" w:rsidRDefault="00B2099A" w:rsidP="00156F01">
      <w:pPr>
        <w:spacing w:before="120" w:after="120"/>
        <w:jc w:val="both"/>
        <w:rPr>
          <w:color w:val="000000"/>
        </w:rPr>
      </w:pPr>
      <w:r>
        <w:rPr>
          <w:color w:val="000000"/>
        </w:rPr>
        <w:t>(</w:t>
      </w:r>
      <w:r w:rsidR="00DC626C">
        <w:rPr>
          <w:color w:val="000000"/>
        </w:rPr>
        <w:t>3</w:t>
      </w:r>
      <w:r>
        <w:rPr>
          <w:color w:val="000000"/>
        </w:rPr>
        <w:t xml:space="preserve">) </w:t>
      </w:r>
      <w:r w:rsidR="00156F01" w:rsidRPr="00156F01">
        <w:rPr>
          <w:color w:val="000000"/>
        </w:rPr>
        <w:t>Soruşturma döneminde</w:t>
      </w:r>
      <w:r>
        <w:rPr>
          <w:color w:val="000000"/>
        </w:rPr>
        <w:t>, soruşturma konusu ürün ithalatında</w:t>
      </w:r>
      <w:r w:rsidR="00156F01" w:rsidRPr="00156F01">
        <w:rPr>
          <w:color w:val="000000"/>
        </w:rPr>
        <w:t xml:space="preserve"> 1</w:t>
      </w:r>
      <w:r w:rsidR="0040748D">
        <w:rPr>
          <w:color w:val="000000"/>
        </w:rPr>
        <w:t>2</w:t>
      </w:r>
      <w:r w:rsidR="00156F01" w:rsidRPr="00156F01">
        <w:rPr>
          <w:color w:val="000000"/>
        </w:rPr>
        <w:t>/9/2011 tarihli</w:t>
      </w:r>
      <w:r w:rsidR="0040748D">
        <w:rPr>
          <w:color w:val="000000"/>
        </w:rPr>
        <w:t xml:space="preserve"> ve</w:t>
      </w:r>
      <w:r w:rsidR="00156F01" w:rsidRPr="00156F01">
        <w:rPr>
          <w:color w:val="000000"/>
        </w:rPr>
        <w:t xml:space="preserve"> 2011/2203 sayılı Bakanlar Kurulu Kararı ile yürürlüğe konulan İthalat Rejimi Kararına Ek Karar kapsamında 1/1/2020-20/4/2020 t</w:t>
      </w:r>
      <w:r w:rsidR="008F699F">
        <w:rPr>
          <w:color w:val="000000"/>
        </w:rPr>
        <w:t>arihleri arasında CIF bedelin %</w:t>
      </w:r>
      <w:r w:rsidR="00156F01" w:rsidRPr="00156F01">
        <w:rPr>
          <w:color w:val="000000"/>
        </w:rPr>
        <w:t>20’si, 2</w:t>
      </w:r>
      <w:r w:rsidR="0040748D">
        <w:rPr>
          <w:color w:val="000000"/>
        </w:rPr>
        <w:t>0</w:t>
      </w:r>
      <w:r w:rsidR="00156F01" w:rsidRPr="00156F01">
        <w:rPr>
          <w:color w:val="000000"/>
        </w:rPr>
        <w:t>/4/2020 tarihli</w:t>
      </w:r>
      <w:r w:rsidR="0040748D">
        <w:rPr>
          <w:color w:val="000000"/>
        </w:rPr>
        <w:t xml:space="preserve"> ve</w:t>
      </w:r>
      <w:r w:rsidR="00156F01" w:rsidRPr="00156F01">
        <w:rPr>
          <w:color w:val="000000"/>
        </w:rPr>
        <w:t xml:space="preserve"> 2429 sayılı Cumhurbaşkanı Kararı ile yürürlüğe konulan İthalat Rejimi Kararına Ek Karar kapsamında 21/4/2020-31/12/2020 tarihleri arasında CIF bedelin %25’i ve</w:t>
      </w:r>
      <w:r w:rsidR="0040748D">
        <w:rPr>
          <w:color w:val="000000"/>
        </w:rPr>
        <w:t xml:space="preserve"> 31/12/2020 tarihli ve</w:t>
      </w:r>
      <w:r w:rsidR="00156F01" w:rsidRPr="00156F01">
        <w:rPr>
          <w:color w:val="000000"/>
        </w:rPr>
        <w:t xml:space="preserve"> 3351 sayılı Cumhurbaşkanı Kararı ile yürürlüğe konulan İthalatta İlave Gümrük Vergisi Uygulanmasına İlişkin Karar kapsamında 1/1/2021-30/6/2023 tarihleri arasında CIF bedelin %20’si oranlarında </w:t>
      </w:r>
      <w:r w:rsidR="00456F52">
        <w:rPr>
          <w:color w:val="000000"/>
        </w:rPr>
        <w:t>ilave gümrük vergisi (</w:t>
      </w:r>
      <w:r w:rsidR="00156F01" w:rsidRPr="00156F01">
        <w:rPr>
          <w:color w:val="000000"/>
        </w:rPr>
        <w:t>İGV</w:t>
      </w:r>
      <w:r w:rsidR="00456F52">
        <w:rPr>
          <w:color w:val="000000"/>
        </w:rPr>
        <w:t>)</w:t>
      </w:r>
      <w:r w:rsidR="00156F01" w:rsidRPr="00156F01">
        <w:rPr>
          <w:color w:val="000000"/>
        </w:rPr>
        <w:t xml:space="preserve"> uygulanmıştır.</w:t>
      </w:r>
    </w:p>
    <w:p w14:paraId="30562888" w14:textId="1432A342" w:rsidR="00156F01" w:rsidRPr="00156F01" w:rsidRDefault="00156F01" w:rsidP="00156F01">
      <w:pPr>
        <w:spacing w:before="120" w:after="120"/>
        <w:jc w:val="both"/>
        <w:rPr>
          <w:color w:val="000000"/>
        </w:rPr>
      </w:pPr>
      <w:r w:rsidRPr="00156F01">
        <w:rPr>
          <w:color w:val="000000"/>
        </w:rPr>
        <w:t>(</w:t>
      </w:r>
      <w:r w:rsidR="00DC626C">
        <w:rPr>
          <w:color w:val="000000"/>
        </w:rPr>
        <w:t>4</w:t>
      </w:r>
      <w:r w:rsidRPr="00156F01">
        <w:rPr>
          <w:color w:val="000000"/>
        </w:rPr>
        <w:t xml:space="preserve">) </w:t>
      </w:r>
      <w:r w:rsidR="00B2099A">
        <w:rPr>
          <w:color w:val="000000"/>
        </w:rPr>
        <w:t xml:space="preserve">Bununla birlikte, </w:t>
      </w:r>
      <w:r w:rsidRPr="00156F01">
        <w:rPr>
          <w:color w:val="000000"/>
        </w:rPr>
        <w:t xml:space="preserve">ÇHC menşeli </w:t>
      </w:r>
      <w:r w:rsidR="00B2099A">
        <w:rPr>
          <w:color w:val="000000"/>
        </w:rPr>
        <w:t xml:space="preserve">soruşturma konusu ürün </w:t>
      </w:r>
      <w:r w:rsidRPr="00156F01">
        <w:rPr>
          <w:color w:val="000000"/>
        </w:rPr>
        <w:t xml:space="preserve">ithalatında uygulanmakta olan dampinge karşı önlemin Bulgaristan ve Polonya üzerinden menşe saptırması yapılarak etkisiz kılındığı iddiası ile başlatılan önlemlerin etkisiz kılınmasına karşı soruşturma neticesinde, 22/8/2015 tarihli ve 29453 sayılı Resmî </w:t>
      </w:r>
      <w:proofErr w:type="spellStart"/>
      <w:r w:rsidRPr="00156F01">
        <w:rPr>
          <w:color w:val="000000"/>
        </w:rPr>
        <w:t>Gazete’de</w:t>
      </w:r>
      <w:proofErr w:type="spellEnd"/>
      <w:r w:rsidRPr="00156F01">
        <w:rPr>
          <w:color w:val="000000"/>
        </w:rPr>
        <w:t xml:space="preserve"> yayımlanan İthalatta Haksız Rekabetin Önlenmesine İlişkin Tebliğ (Tebliğ No: 2015/40)  ile Bulgaristan  (E. </w:t>
      </w:r>
      <w:proofErr w:type="spellStart"/>
      <w:r w:rsidRPr="00156F01">
        <w:rPr>
          <w:color w:val="000000"/>
        </w:rPr>
        <w:t>Miroglio</w:t>
      </w:r>
      <w:proofErr w:type="spellEnd"/>
      <w:r w:rsidRPr="00156F01">
        <w:rPr>
          <w:color w:val="000000"/>
        </w:rPr>
        <w:t xml:space="preserve"> EAD ve </w:t>
      </w:r>
      <w:proofErr w:type="spellStart"/>
      <w:r w:rsidRPr="00156F01">
        <w:rPr>
          <w:color w:val="000000"/>
        </w:rPr>
        <w:t>Belotex</w:t>
      </w:r>
      <w:proofErr w:type="spellEnd"/>
      <w:r w:rsidRPr="00156F01">
        <w:rPr>
          <w:color w:val="000000"/>
        </w:rPr>
        <w:t xml:space="preserve"> 95 JSC firmaları hariç) ve Polonya menşeli olarak beyan edilen ve/veya bu ülkeler çıkışlı </w:t>
      </w:r>
      <w:r w:rsidR="00D23D81">
        <w:rPr>
          <w:color w:val="000000"/>
        </w:rPr>
        <w:t>soruşturma</w:t>
      </w:r>
      <w:r w:rsidRPr="00156F01">
        <w:rPr>
          <w:color w:val="000000"/>
        </w:rPr>
        <w:t xml:space="preserve"> konusu ürün ithalatında ÇHC menşeli ithalat için yürürlükte bulunan dampinge karşı önlem ile aynı oranda dampinge karşı önlemin yürürlüğe konulmasına karar verilmiştir.</w:t>
      </w:r>
    </w:p>
    <w:p w14:paraId="745DBFA5" w14:textId="2BF4FA5A" w:rsidR="00156F01" w:rsidRPr="00156F01" w:rsidRDefault="00156F01" w:rsidP="00156F01">
      <w:pPr>
        <w:spacing w:before="120" w:after="120"/>
        <w:jc w:val="both"/>
        <w:rPr>
          <w:color w:val="000000"/>
        </w:rPr>
      </w:pPr>
      <w:r w:rsidRPr="00156F01">
        <w:rPr>
          <w:color w:val="000000"/>
        </w:rPr>
        <w:lastRenderedPageBreak/>
        <w:t>(</w:t>
      </w:r>
      <w:r w:rsidR="00DC626C">
        <w:rPr>
          <w:color w:val="000000"/>
        </w:rPr>
        <w:t>5</w:t>
      </w:r>
      <w:r w:rsidRPr="00156F01">
        <w:rPr>
          <w:color w:val="000000"/>
        </w:rPr>
        <w:t xml:space="preserve">) 7/5/2019 tarihli ve 30767 sayılı Resmî </w:t>
      </w:r>
      <w:proofErr w:type="spellStart"/>
      <w:r w:rsidRPr="00156F01">
        <w:rPr>
          <w:color w:val="000000"/>
        </w:rPr>
        <w:t>Gazete’de</w:t>
      </w:r>
      <w:proofErr w:type="spellEnd"/>
      <w:r w:rsidRPr="00156F01">
        <w:rPr>
          <w:color w:val="000000"/>
        </w:rPr>
        <w:t xml:space="preserve"> yayımlanan İthalatta Haksız Rekabetin Önlenmesine İlişkin Tebliğ (Tebliğ No: 2019/15) ile Yunanistan menşeli olarak beyan edilen ve/veya bu ülke çıkışlı </w:t>
      </w:r>
      <w:r w:rsidR="00C11E73">
        <w:rPr>
          <w:color w:val="000000"/>
        </w:rPr>
        <w:t>soruşturma</w:t>
      </w:r>
      <w:r w:rsidRPr="00156F01">
        <w:rPr>
          <w:color w:val="000000"/>
        </w:rPr>
        <w:t xml:space="preserve"> konusu ürün ithalatında ÇHC menşeli ithalat için yürürlükte bulunan dampinge karşı önlem ile aynı oranda dampinge karşı önlemin yürürlüğe konulmasına karar verilmiştir.</w:t>
      </w:r>
    </w:p>
    <w:p w14:paraId="4B8E1FC4" w14:textId="3FE2BE27" w:rsidR="00156F01" w:rsidRPr="00156F01" w:rsidRDefault="00156F01" w:rsidP="00156F01">
      <w:pPr>
        <w:spacing w:before="120" w:after="120"/>
        <w:jc w:val="both"/>
        <w:rPr>
          <w:color w:val="000000"/>
        </w:rPr>
      </w:pPr>
      <w:r w:rsidRPr="00156F01">
        <w:rPr>
          <w:color w:val="000000"/>
        </w:rPr>
        <w:t>(</w:t>
      </w:r>
      <w:r w:rsidR="00DC626C">
        <w:rPr>
          <w:color w:val="000000"/>
        </w:rPr>
        <w:t>6</w:t>
      </w:r>
      <w:r w:rsidRPr="00156F01">
        <w:rPr>
          <w:color w:val="000000"/>
        </w:rPr>
        <w:t xml:space="preserve">) 1/6/2023 tarihli ve 32208 sayılı Resmî </w:t>
      </w:r>
      <w:proofErr w:type="spellStart"/>
      <w:r w:rsidRPr="00156F01">
        <w:rPr>
          <w:color w:val="000000"/>
        </w:rPr>
        <w:t>Gazete’de</w:t>
      </w:r>
      <w:proofErr w:type="spellEnd"/>
      <w:r w:rsidRPr="00156F01">
        <w:rPr>
          <w:color w:val="000000"/>
        </w:rPr>
        <w:t xml:space="preserve"> yayımlanan İthalatta Haksız Rekabetin Önlenmesine İlişkin Tebliğ (Tebliğ No: 2023/20) ile Kuzey Makedonya Cumhuriyeti (</w:t>
      </w:r>
      <w:proofErr w:type="spellStart"/>
      <w:r w:rsidRPr="00156F01">
        <w:rPr>
          <w:color w:val="000000"/>
        </w:rPr>
        <w:t>Jagjemezler</w:t>
      </w:r>
      <w:proofErr w:type="spellEnd"/>
      <w:r w:rsidRPr="00156F01">
        <w:rPr>
          <w:color w:val="000000"/>
        </w:rPr>
        <w:t xml:space="preserve"> </w:t>
      </w:r>
      <w:proofErr w:type="spellStart"/>
      <w:r w:rsidRPr="00156F01">
        <w:rPr>
          <w:color w:val="000000"/>
        </w:rPr>
        <w:t>Dooel</w:t>
      </w:r>
      <w:proofErr w:type="spellEnd"/>
      <w:r w:rsidRPr="00156F01">
        <w:rPr>
          <w:color w:val="000000"/>
        </w:rPr>
        <w:t xml:space="preserve"> firması hariç) menşeli olarak beyan edilen ve/veya bu ülke çıkışlı </w:t>
      </w:r>
      <w:r w:rsidR="00C11E73">
        <w:rPr>
          <w:color w:val="000000"/>
        </w:rPr>
        <w:t>soruşturma</w:t>
      </w:r>
      <w:r w:rsidRPr="00156F01">
        <w:rPr>
          <w:color w:val="000000"/>
        </w:rPr>
        <w:t xml:space="preserve"> konusu ürün ithalatında ÇHC menşeli ithalat için yürürlükte bulunan dampinge karşı önlem ile aynı oranda dampinge karşı önlemin yürürlüğe konulmasına karar verilmiştir.</w:t>
      </w:r>
    </w:p>
    <w:p w14:paraId="266581BD" w14:textId="632361AE" w:rsidR="00156F01" w:rsidRPr="00156F01" w:rsidRDefault="00156F01" w:rsidP="00156F01">
      <w:pPr>
        <w:spacing w:before="120" w:after="120"/>
        <w:jc w:val="both"/>
        <w:rPr>
          <w:color w:val="000000"/>
        </w:rPr>
      </w:pPr>
      <w:r w:rsidRPr="00156F01">
        <w:rPr>
          <w:color w:val="000000"/>
        </w:rPr>
        <w:t>(</w:t>
      </w:r>
      <w:r w:rsidR="00DC626C">
        <w:rPr>
          <w:color w:val="000000"/>
        </w:rPr>
        <w:t>7</w:t>
      </w:r>
      <w:r w:rsidRPr="00156F01">
        <w:rPr>
          <w:color w:val="000000"/>
        </w:rPr>
        <w:t>) 20/2/2024 tarihli</w:t>
      </w:r>
      <w:r w:rsidR="0040748D">
        <w:rPr>
          <w:color w:val="000000"/>
        </w:rPr>
        <w:t xml:space="preserve"> ve</w:t>
      </w:r>
      <w:r w:rsidRPr="00156F01">
        <w:rPr>
          <w:color w:val="000000"/>
        </w:rPr>
        <w:t xml:space="preserve"> 32466 sayılı Resmî </w:t>
      </w:r>
      <w:proofErr w:type="spellStart"/>
      <w:r w:rsidRPr="00156F01">
        <w:rPr>
          <w:color w:val="000000"/>
        </w:rPr>
        <w:t>Gazete’de</w:t>
      </w:r>
      <w:proofErr w:type="spellEnd"/>
      <w:r w:rsidRPr="00156F01">
        <w:rPr>
          <w:color w:val="000000"/>
        </w:rPr>
        <w:t xml:space="preserve"> yayımlanan İthalatta Haksız Rekabetin Önlenmesine İlişkin Tebliğ (Tebliğ No: 2024/8) ile İtalya (</w:t>
      </w:r>
      <w:proofErr w:type="spellStart"/>
      <w:r w:rsidRPr="00156F01">
        <w:rPr>
          <w:color w:val="000000"/>
        </w:rPr>
        <w:t>Erica</w:t>
      </w:r>
      <w:proofErr w:type="spellEnd"/>
      <w:r w:rsidRPr="00156F01">
        <w:rPr>
          <w:color w:val="000000"/>
        </w:rPr>
        <w:t xml:space="preserve"> </w:t>
      </w:r>
      <w:proofErr w:type="spellStart"/>
      <w:r w:rsidRPr="00156F01">
        <w:rPr>
          <w:color w:val="000000"/>
        </w:rPr>
        <w:t>Industria</w:t>
      </w:r>
      <w:proofErr w:type="spellEnd"/>
      <w:r w:rsidRPr="00156F01">
        <w:rPr>
          <w:color w:val="000000"/>
        </w:rPr>
        <w:t xml:space="preserve"> </w:t>
      </w:r>
      <w:proofErr w:type="spellStart"/>
      <w:r w:rsidRPr="00156F01">
        <w:rPr>
          <w:color w:val="000000"/>
        </w:rPr>
        <w:t>Tessile</w:t>
      </w:r>
      <w:proofErr w:type="spellEnd"/>
      <w:r w:rsidRPr="00156F01">
        <w:rPr>
          <w:color w:val="000000"/>
        </w:rPr>
        <w:t xml:space="preserve"> S.P.A., </w:t>
      </w:r>
      <w:proofErr w:type="spellStart"/>
      <w:r w:rsidRPr="00156F01">
        <w:rPr>
          <w:color w:val="000000"/>
        </w:rPr>
        <w:t>Tessitura</w:t>
      </w:r>
      <w:proofErr w:type="spellEnd"/>
      <w:r w:rsidRPr="00156F01">
        <w:rPr>
          <w:color w:val="000000"/>
        </w:rPr>
        <w:t xml:space="preserve"> </w:t>
      </w:r>
      <w:proofErr w:type="spellStart"/>
      <w:r w:rsidRPr="00156F01">
        <w:rPr>
          <w:color w:val="000000"/>
        </w:rPr>
        <w:t>Uboldi</w:t>
      </w:r>
      <w:proofErr w:type="spellEnd"/>
      <w:r w:rsidRPr="00156F01">
        <w:rPr>
          <w:color w:val="000000"/>
        </w:rPr>
        <w:t xml:space="preserve"> </w:t>
      </w:r>
      <w:proofErr w:type="spellStart"/>
      <w:r w:rsidRPr="00156F01">
        <w:rPr>
          <w:color w:val="000000"/>
        </w:rPr>
        <w:t>Luigi</w:t>
      </w:r>
      <w:proofErr w:type="spellEnd"/>
      <w:r w:rsidRPr="00156F01">
        <w:rPr>
          <w:color w:val="000000"/>
        </w:rPr>
        <w:t xml:space="preserve"> S.R.L., </w:t>
      </w:r>
      <w:proofErr w:type="spellStart"/>
      <w:r w:rsidRPr="00156F01">
        <w:rPr>
          <w:color w:val="000000"/>
        </w:rPr>
        <w:t>Stamperia</w:t>
      </w:r>
      <w:proofErr w:type="spellEnd"/>
      <w:r w:rsidRPr="00156F01">
        <w:rPr>
          <w:color w:val="000000"/>
        </w:rPr>
        <w:t xml:space="preserve"> </w:t>
      </w:r>
      <w:proofErr w:type="spellStart"/>
      <w:r w:rsidRPr="00156F01">
        <w:rPr>
          <w:color w:val="000000"/>
        </w:rPr>
        <w:t>Di</w:t>
      </w:r>
      <w:proofErr w:type="spellEnd"/>
      <w:r w:rsidRPr="00156F01">
        <w:rPr>
          <w:color w:val="000000"/>
        </w:rPr>
        <w:t xml:space="preserve"> </w:t>
      </w:r>
      <w:proofErr w:type="spellStart"/>
      <w:r w:rsidRPr="00156F01">
        <w:rPr>
          <w:color w:val="000000"/>
        </w:rPr>
        <w:t>Martinengo</w:t>
      </w:r>
      <w:proofErr w:type="spellEnd"/>
      <w:r w:rsidRPr="00156F01">
        <w:rPr>
          <w:color w:val="000000"/>
        </w:rPr>
        <w:t xml:space="preserve"> S.R.L., </w:t>
      </w:r>
      <w:proofErr w:type="spellStart"/>
      <w:r w:rsidRPr="00156F01">
        <w:rPr>
          <w:color w:val="000000"/>
        </w:rPr>
        <w:t>Stamperia</w:t>
      </w:r>
      <w:proofErr w:type="spellEnd"/>
      <w:r w:rsidRPr="00156F01">
        <w:rPr>
          <w:color w:val="000000"/>
        </w:rPr>
        <w:t xml:space="preserve"> </w:t>
      </w:r>
      <w:proofErr w:type="spellStart"/>
      <w:r w:rsidRPr="00156F01">
        <w:rPr>
          <w:color w:val="000000"/>
        </w:rPr>
        <w:t>Di</w:t>
      </w:r>
      <w:proofErr w:type="spellEnd"/>
      <w:r w:rsidRPr="00156F01">
        <w:rPr>
          <w:color w:val="000000"/>
        </w:rPr>
        <w:t xml:space="preserve"> </w:t>
      </w:r>
      <w:proofErr w:type="spellStart"/>
      <w:r w:rsidRPr="00156F01">
        <w:rPr>
          <w:color w:val="000000"/>
        </w:rPr>
        <w:t>Cassina</w:t>
      </w:r>
      <w:proofErr w:type="spellEnd"/>
      <w:r w:rsidRPr="00156F01">
        <w:rPr>
          <w:color w:val="000000"/>
        </w:rPr>
        <w:t xml:space="preserve"> </w:t>
      </w:r>
      <w:proofErr w:type="spellStart"/>
      <w:r w:rsidRPr="00156F01">
        <w:rPr>
          <w:color w:val="000000"/>
        </w:rPr>
        <w:t>Rizzardi</w:t>
      </w:r>
      <w:proofErr w:type="spellEnd"/>
      <w:r w:rsidRPr="00156F01">
        <w:rPr>
          <w:color w:val="000000"/>
        </w:rPr>
        <w:t xml:space="preserve"> S.P.A., </w:t>
      </w:r>
      <w:proofErr w:type="spellStart"/>
      <w:r w:rsidRPr="00156F01">
        <w:rPr>
          <w:color w:val="000000"/>
        </w:rPr>
        <w:t>Fasac</w:t>
      </w:r>
      <w:proofErr w:type="spellEnd"/>
      <w:r w:rsidRPr="00156F01">
        <w:rPr>
          <w:color w:val="000000"/>
        </w:rPr>
        <w:t xml:space="preserve"> S.P.A., </w:t>
      </w:r>
      <w:proofErr w:type="spellStart"/>
      <w:r w:rsidRPr="00156F01">
        <w:rPr>
          <w:color w:val="000000"/>
        </w:rPr>
        <w:t>Lanificio</w:t>
      </w:r>
      <w:proofErr w:type="spellEnd"/>
      <w:r w:rsidRPr="00156F01">
        <w:rPr>
          <w:color w:val="000000"/>
        </w:rPr>
        <w:t xml:space="preserve"> </w:t>
      </w:r>
      <w:proofErr w:type="spellStart"/>
      <w:r w:rsidRPr="00156F01">
        <w:rPr>
          <w:color w:val="000000"/>
        </w:rPr>
        <w:t>Batacchi</w:t>
      </w:r>
      <w:proofErr w:type="spellEnd"/>
      <w:r w:rsidRPr="00156F01">
        <w:rPr>
          <w:color w:val="000000"/>
        </w:rPr>
        <w:t xml:space="preserve"> E </w:t>
      </w:r>
      <w:proofErr w:type="spellStart"/>
      <w:r w:rsidRPr="00156F01">
        <w:rPr>
          <w:color w:val="000000"/>
        </w:rPr>
        <w:t>Gori</w:t>
      </w:r>
      <w:proofErr w:type="spellEnd"/>
      <w:r w:rsidRPr="00156F01">
        <w:rPr>
          <w:color w:val="000000"/>
        </w:rPr>
        <w:t xml:space="preserve"> S.R.L. ve İn. </w:t>
      </w:r>
      <w:proofErr w:type="spellStart"/>
      <w:r w:rsidRPr="00156F01">
        <w:rPr>
          <w:color w:val="000000"/>
        </w:rPr>
        <w:t>Tes</w:t>
      </w:r>
      <w:proofErr w:type="spellEnd"/>
      <w:r w:rsidRPr="00156F01">
        <w:rPr>
          <w:color w:val="000000"/>
        </w:rPr>
        <w:t xml:space="preserve">. </w:t>
      </w:r>
      <w:proofErr w:type="spellStart"/>
      <w:r w:rsidRPr="00156F01">
        <w:rPr>
          <w:color w:val="000000"/>
        </w:rPr>
        <w:t>Pra</w:t>
      </w:r>
      <w:proofErr w:type="spellEnd"/>
      <w:r w:rsidRPr="00156F01">
        <w:rPr>
          <w:color w:val="000000"/>
        </w:rPr>
        <w:t xml:space="preserve">. </w:t>
      </w:r>
      <w:proofErr w:type="spellStart"/>
      <w:r w:rsidRPr="00156F01">
        <w:rPr>
          <w:color w:val="000000"/>
        </w:rPr>
        <w:t>Industria</w:t>
      </w:r>
      <w:proofErr w:type="spellEnd"/>
      <w:r w:rsidRPr="00156F01">
        <w:rPr>
          <w:color w:val="000000"/>
        </w:rPr>
        <w:t xml:space="preserve"> </w:t>
      </w:r>
      <w:proofErr w:type="spellStart"/>
      <w:r w:rsidRPr="00156F01">
        <w:rPr>
          <w:color w:val="000000"/>
        </w:rPr>
        <w:t>Tessuti</w:t>
      </w:r>
      <w:proofErr w:type="spellEnd"/>
      <w:r w:rsidRPr="00156F01">
        <w:rPr>
          <w:color w:val="000000"/>
        </w:rPr>
        <w:t xml:space="preserve"> </w:t>
      </w:r>
      <w:proofErr w:type="spellStart"/>
      <w:r w:rsidRPr="00156F01">
        <w:rPr>
          <w:color w:val="000000"/>
        </w:rPr>
        <w:t>Pratesi</w:t>
      </w:r>
      <w:proofErr w:type="spellEnd"/>
      <w:r w:rsidRPr="00156F01">
        <w:rPr>
          <w:color w:val="000000"/>
        </w:rPr>
        <w:t xml:space="preserve"> S.P.A. firmaları hariç), İspanya (</w:t>
      </w:r>
      <w:proofErr w:type="spellStart"/>
      <w:r w:rsidRPr="00156F01">
        <w:rPr>
          <w:color w:val="000000"/>
        </w:rPr>
        <w:t>Beniplast-Benitex</w:t>
      </w:r>
      <w:proofErr w:type="spellEnd"/>
      <w:r w:rsidRPr="00156F01">
        <w:rPr>
          <w:color w:val="000000"/>
        </w:rPr>
        <w:t xml:space="preserve"> S.A., </w:t>
      </w:r>
      <w:proofErr w:type="spellStart"/>
      <w:r w:rsidRPr="00156F01">
        <w:rPr>
          <w:color w:val="000000"/>
        </w:rPr>
        <w:t>Castilla</w:t>
      </w:r>
      <w:proofErr w:type="spellEnd"/>
      <w:r w:rsidRPr="00156F01">
        <w:rPr>
          <w:color w:val="000000"/>
        </w:rPr>
        <w:t xml:space="preserve"> </w:t>
      </w:r>
      <w:proofErr w:type="spellStart"/>
      <w:r w:rsidRPr="00156F01">
        <w:rPr>
          <w:color w:val="000000"/>
        </w:rPr>
        <w:t>Textil</w:t>
      </w:r>
      <w:proofErr w:type="spellEnd"/>
      <w:r w:rsidRPr="00156F01">
        <w:rPr>
          <w:color w:val="000000"/>
        </w:rPr>
        <w:t xml:space="preserve"> 2 S.L., </w:t>
      </w:r>
      <w:proofErr w:type="spellStart"/>
      <w:r w:rsidRPr="00156F01">
        <w:rPr>
          <w:color w:val="000000"/>
        </w:rPr>
        <w:t>Criado</w:t>
      </w:r>
      <w:proofErr w:type="spellEnd"/>
      <w:r w:rsidRPr="00156F01">
        <w:rPr>
          <w:color w:val="000000"/>
        </w:rPr>
        <w:t xml:space="preserve"> Y Lopez S.L., </w:t>
      </w:r>
      <w:proofErr w:type="spellStart"/>
      <w:r w:rsidRPr="00156F01">
        <w:rPr>
          <w:color w:val="000000"/>
        </w:rPr>
        <w:t>Exit</w:t>
      </w:r>
      <w:proofErr w:type="spellEnd"/>
      <w:r w:rsidRPr="00156F01">
        <w:rPr>
          <w:color w:val="000000"/>
        </w:rPr>
        <w:t xml:space="preserve"> </w:t>
      </w:r>
      <w:proofErr w:type="spellStart"/>
      <w:r w:rsidRPr="00156F01">
        <w:rPr>
          <w:color w:val="000000"/>
        </w:rPr>
        <w:t>Fabrics</w:t>
      </w:r>
      <w:proofErr w:type="spellEnd"/>
      <w:r w:rsidRPr="00156F01">
        <w:rPr>
          <w:color w:val="000000"/>
        </w:rPr>
        <w:t xml:space="preserve"> S.L., </w:t>
      </w:r>
      <w:proofErr w:type="spellStart"/>
      <w:r w:rsidRPr="00156F01">
        <w:rPr>
          <w:color w:val="000000"/>
        </w:rPr>
        <w:t>Etisilk</w:t>
      </w:r>
      <w:proofErr w:type="spellEnd"/>
      <w:r w:rsidRPr="00156F01">
        <w:rPr>
          <w:color w:val="000000"/>
        </w:rPr>
        <w:t xml:space="preserve"> S.A., Marina </w:t>
      </w:r>
      <w:proofErr w:type="spellStart"/>
      <w:r w:rsidRPr="00156F01">
        <w:rPr>
          <w:color w:val="000000"/>
        </w:rPr>
        <w:t>Textil</w:t>
      </w:r>
      <w:proofErr w:type="spellEnd"/>
      <w:r w:rsidRPr="00156F01">
        <w:rPr>
          <w:color w:val="000000"/>
        </w:rPr>
        <w:t xml:space="preserve"> S.L., </w:t>
      </w:r>
      <w:proofErr w:type="spellStart"/>
      <w:r w:rsidRPr="00156F01">
        <w:rPr>
          <w:color w:val="000000"/>
        </w:rPr>
        <w:t>Plast</w:t>
      </w:r>
      <w:proofErr w:type="spellEnd"/>
      <w:r w:rsidRPr="00156F01">
        <w:rPr>
          <w:color w:val="000000"/>
        </w:rPr>
        <w:t xml:space="preserve"> </w:t>
      </w:r>
      <w:proofErr w:type="spellStart"/>
      <w:r w:rsidRPr="00156F01">
        <w:rPr>
          <w:color w:val="000000"/>
        </w:rPr>
        <w:t>Textil</w:t>
      </w:r>
      <w:proofErr w:type="spellEnd"/>
      <w:r w:rsidRPr="00156F01">
        <w:rPr>
          <w:color w:val="000000"/>
        </w:rPr>
        <w:t xml:space="preserve"> S.L., </w:t>
      </w:r>
      <w:proofErr w:type="spellStart"/>
      <w:r w:rsidRPr="00156F01">
        <w:rPr>
          <w:color w:val="000000"/>
        </w:rPr>
        <w:t>Textil</w:t>
      </w:r>
      <w:proofErr w:type="spellEnd"/>
      <w:r w:rsidRPr="00156F01">
        <w:rPr>
          <w:color w:val="000000"/>
        </w:rPr>
        <w:t xml:space="preserve"> </w:t>
      </w:r>
      <w:proofErr w:type="spellStart"/>
      <w:r w:rsidRPr="00156F01">
        <w:rPr>
          <w:color w:val="000000"/>
        </w:rPr>
        <w:t>Puig</w:t>
      </w:r>
      <w:proofErr w:type="spellEnd"/>
      <w:r w:rsidRPr="00156F01">
        <w:rPr>
          <w:color w:val="000000"/>
        </w:rPr>
        <w:t xml:space="preserve"> </w:t>
      </w:r>
      <w:proofErr w:type="spellStart"/>
      <w:r w:rsidRPr="00156F01">
        <w:rPr>
          <w:color w:val="000000"/>
        </w:rPr>
        <w:t>Ubach</w:t>
      </w:r>
      <w:proofErr w:type="spellEnd"/>
      <w:r w:rsidRPr="00156F01">
        <w:rPr>
          <w:color w:val="000000"/>
        </w:rPr>
        <w:t xml:space="preserve"> S.A., </w:t>
      </w:r>
      <w:proofErr w:type="spellStart"/>
      <w:r w:rsidRPr="00156F01">
        <w:rPr>
          <w:color w:val="000000"/>
        </w:rPr>
        <w:t>Textil</w:t>
      </w:r>
      <w:proofErr w:type="spellEnd"/>
      <w:r w:rsidRPr="00156F01">
        <w:rPr>
          <w:color w:val="000000"/>
        </w:rPr>
        <w:t xml:space="preserve"> A </w:t>
      </w:r>
      <w:proofErr w:type="spellStart"/>
      <w:r w:rsidRPr="00156F01">
        <w:rPr>
          <w:color w:val="000000"/>
        </w:rPr>
        <w:t>Ortiz</w:t>
      </w:r>
      <w:proofErr w:type="spellEnd"/>
      <w:r w:rsidRPr="00156F01">
        <w:rPr>
          <w:color w:val="000000"/>
        </w:rPr>
        <w:t xml:space="preserve"> S.A.U. ve </w:t>
      </w:r>
      <w:proofErr w:type="spellStart"/>
      <w:r w:rsidRPr="00156F01">
        <w:rPr>
          <w:color w:val="000000"/>
        </w:rPr>
        <w:t>Textil</w:t>
      </w:r>
      <w:proofErr w:type="spellEnd"/>
      <w:r w:rsidRPr="00156F01">
        <w:rPr>
          <w:color w:val="000000"/>
        </w:rPr>
        <w:t xml:space="preserve"> </w:t>
      </w:r>
      <w:proofErr w:type="spellStart"/>
      <w:r w:rsidRPr="00156F01">
        <w:rPr>
          <w:color w:val="000000"/>
        </w:rPr>
        <w:t>Santanderina</w:t>
      </w:r>
      <w:proofErr w:type="spellEnd"/>
      <w:r w:rsidRPr="00156F01">
        <w:rPr>
          <w:color w:val="000000"/>
        </w:rPr>
        <w:t xml:space="preserve"> S.A. firmaları hariç), Almanya (</w:t>
      </w:r>
      <w:proofErr w:type="spellStart"/>
      <w:r w:rsidRPr="00156F01">
        <w:rPr>
          <w:color w:val="000000"/>
        </w:rPr>
        <w:t>Dimension-Polyant</w:t>
      </w:r>
      <w:proofErr w:type="spellEnd"/>
      <w:r w:rsidRPr="00156F01">
        <w:rPr>
          <w:color w:val="000000"/>
        </w:rPr>
        <w:t xml:space="preserve"> G.M.B.H., </w:t>
      </w:r>
      <w:proofErr w:type="spellStart"/>
      <w:r w:rsidRPr="00156F01">
        <w:rPr>
          <w:color w:val="000000"/>
        </w:rPr>
        <w:t>Freudenberg</w:t>
      </w:r>
      <w:proofErr w:type="spellEnd"/>
      <w:r w:rsidRPr="00156F01">
        <w:rPr>
          <w:color w:val="000000"/>
        </w:rPr>
        <w:t xml:space="preserve"> </w:t>
      </w:r>
      <w:proofErr w:type="spellStart"/>
      <w:r w:rsidRPr="00156F01">
        <w:rPr>
          <w:color w:val="000000"/>
        </w:rPr>
        <w:t>Performance</w:t>
      </w:r>
      <w:proofErr w:type="spellEnd"/>
      <w:r w:rsidRPr="00156F01">
        <w:rPr>
          <w:color w:val="000000"/>
        </w:rPr>
        <w:t xml:space="preserve"> </w:t>
      </w:r>
      <w:proofErr w:type="spellStart"/>
      <w:r w:rsidRPr="00156F01">
        <w:rPr>
          <w:color w:val="000000"/>
        </w:rPr>
        <w:t>Materials</w:t>
      </w:r>
      <w:proofErr w:type="spellEnd"/>
      <w:r w:rsidRPr="00156F01">
        <w:rPr>
          <w:color w:val="000000"/>
        </w:rPr>
        <w:t xml:space="preserve"> </w:t>
      </w:r>
      <w:proofErr w:type="spellStart"/>
      <w:r w:rsidRPr="00156F01">
        <w:rPr>
          <w:color w:val="000000"/>
        </w:rPr>
        <w:t>Apparel</w:t>
      </w:r>
      <w:proofErr w:type="spellEnd"/>
      <w:r w:rsidRPr="00156F01">
        <w:rPr>
          <w:color w:val="000000"/>
        </w:rPr>
        <w:t xml:space="preserve"> SE &amp; </w:t>
      </w:r>
      <w:proofErr w:type="spellStart"/>
      <w:r w:rsidRPr="00156F01">
        <w:rPr>
          <w:color w:val="000000"/>
        </w:rPr>
        <w:t>Co</w:t>
      </w:r>
      <w:proofErr w:type="spellEnd"/>
      <w:r w:rsidRPr="00156F01">
        <w:rPr>
          <w:color w:val="000000"/>
        </w:rPr>
        <w:t xml:space="preserve">. K.G. ve </w:t>
      </w:r>
      <w:proofErr w:type="spellStart"/>
      <w:r w:rsidRPr="00156F01">
        <w:rPr>
          <w:color w:val="000000"/>
        </w:rPr>
        <w:t>Propex</w:t>
      </w:r>
      <w:proofErr w:type="spellEnd"/>
      <w:r w:rsidRPr="00156F01">
        <w:rPr>
          <w:color w:val="000000"/>
        </w:rPr>
        <w:t xml:space="preserve"> </w:t>
      </w:r>
      <w:proofErr w:type="spellStart"/>
      <w:r w:rsidRPr="00156F01">
        <w:rPr>
          <w:color w:val="000000"/>
        </w:rPr>
        <w:t>Furnishing</w:t>
      </w:r>
      <w:proofErr w:type="spellEnd"/>
      <w:r w:rsidRPr="00156F01">
        <w:rPr>
          <w:color w:val="000000"/>
        </w:rPr>
        <w:t xml:space="preserve"> Solutions G.M.B.H &amp; </w:t>
      </w:r>
      <w:proofErr w:type="spellStart"/>
      <w:r w:rsidRPr="00156F01">
        <w:rPr>
          <w:color w:val="000000"/>
        </w:rPr>
        <w:t>Co</w:t>
      </w:r>
      <w:proofErr w:type="spellEnd"/>
      <w:r w:rsidRPr="00156F01">
        <w:rPr>
          <w:color w:val="000000"/>
        </w:rPr>
        <w:t xml:space="preserve">. K.G firmaları hariç), Çek Cumhuriyeti, Hollanda, Belçika, Romanya, Fransa, Malta, Portekiz, Avusturya, Macaristan, Litvanya, Danimarka, İsveç, İrlanda, Slovenya, Hırvatistan, Finlandiya, Letonya, Estonya, Slovakya ve Lüksemburg menşeli olarak beyan edilen ve/veya bu ülkeler çıkışlı </w:t>
      </w:r>
      <w:r w:rsidR="00C11E73">
        <w:rPr>
          <w:color w:val="000000"/>
        </w:rPr>
        <w:t>soruşturma</w:t>
      </w:r>
      <w:r w:rsidRPr="00156F01">
        <w:rPr>
          <w:color w:val="000000"/>
        </w:rPr>
        <w:t xml:space="preserve"> konusu ürün ithalatında ÇHC menşeli ithalat için yürürlükte bulunan dampinge karşı önlem ile aynı oranda dampinge karşı önlemin yürürlüğe konulmasına karar verilmiştir.</w:t>
      </w:r>
    </w:p>
    <w:p w14:paraId="36177FBF" w14:textId="55CCD259" w:rsidR="001161E3" w:rsidRPr="00156F01" w:rsidRDefault="00156F01" w:rsidP="00156F01">
      <w:pPr>
        <w:keepNext/>
        <w:keepLines/>
        <w:spacing w:before="120" w:after="120"/>
        <w:jc w:val="both"/>
        <w:outlineLvl w:val="0"/>
        <w:rPr>
          <w:rFonts w:eastAsiaTheme="majorEastAsia"/>
          <w:b/>
          <w:bCs/>
          <w:caps/>
          <w:vanish/>
        </w:rPr>
      </w:pPr>
      <w:r w:rsidRPr="00156F01">
        <w:rPr>
          <w:color w:val="000000"/>
        </w:rPr>
        <w:t>(</w:t>
      </w:r>
      <w:r w:rsidR="00DC626C">
        <w:rPr>
          <w:color w:val="000000"/>
        </w:rPr>
        <w:t>8</w:t>
      </w:r>
      <w:r w:rsidRPr="00156F01">
        <w:rPr>
          <w:color w:val="000000"/>
        </w:rPr>
        <w:t xml:space="preserve">) 25/12/2020 tarihli ve 31345 sayılı Resmî </w:t>
      </w:r>
      <w:proofErr w:type="spellStart"/>
      <w:r w:rsidRPr="00156F01">
        <w:rPr>
          <w:color w:val="000000"/>
        </w:rPr>
        <w:t>Gazete’de</w:t>
      </w:r>
      <w:proofErr w:type="spellEnd"/>
      <w:r w:rsidRPr="00156F01">
        <w:rPr>
          <w:color w:val="000000"/>
        </w:rPr>
        <w:t xml:space="preserve"> yayımlanan İthalatta Gözetim Uygulanmasına İlişkin Tebliğ (Tebliğ No: 2020/9) hükümleri çerçevesinde, </w:t>
      </w:r>
      <w:r w:rsidR="00C11E73">
        <w:rPr>
          <w:color w:val="000000"/>
        </w:rPr>
        <w:t>soruşturma</w:t>
      </w:r>
      <w:r w:rsidRPr="00156F01">
        <w:rPr>
          <w:color w:val="000000"/>
        </w:rPr>
        <w:t xml:space="preserve"> konusu ürünün ithalatında gümrük beyannamesinin tescilinde kayıt belgesi aranmaktadır.</w:t>
      </w:r>
    </w:p>
    <w:p w14:paraId="300DB461" w14:textId="77777777" w:rsidR="001161E3" w:rsidRPr="001161E3" w:rsidRDefault="001161E3" w:rsidP="004B4889">
      <w:pPr>
        <w:pStyle w:val="ListeParagraf"/>
        <w:keepNext/>
        <w:keepLines/>
        <w:numPr>
          <w:ilvl w:val="0"/>
          <w:numId w:val="3"/>
        </w:numPr>
        <w:spacing w:before="120" w:after="120"/>
        <w:outlineLvl w:val="0"/>
        <w:rPr>
          <w:rFonts w:eastAsiaTheme="majorEastAsia"/>
          <w:b/>
          <w:bCs/>
          <w:caps/>
          <w:vanish/>
          <w:lang w:eastAsia="tr-TR"/>
        </w:rPr>
      </w:pPr>
    </w:p>
    <w:p w14:paraId="528DFD48" w14:textId="77777777" w:rsidR="00156F01" w:rsidRDefault="00156F01" w:rsidP="004B4889">
      <w:pPr>
        <w:pStyle w:val="Balk1"/>
        <w:numPr>
          <w:ilvl w:val="0"/>
          <w:numId w:val="3"/>
        </w:numPr>
        <w:spacing w:before="120" w:after="120"/>
        <w:rPr>
          <w:rFonts w:ascii="Times New Roman" w:hAnsi="Times New Roman" w:cs="Times New Roman"/>
          <w:sz w:val="24"/>
          <w:szCs w:val="24"/>
        </w:rPr>
      </w:pPr>
    </w:p>
    <w:p w14:paraId="7252C14E" w14:textId="32250DC5" w:rsidR="00A1068B" w:rsidRPr="0055784D" w:rsidRDefault="00983D60" w:rsidP="004B4889">
      <w:pPr>
        <w:pStyle w:val="Balk1"/>
        <w:numPr>
          <w:ilvl w:val="0"/>
          <w:numId w:val="3"/>
        </w:numPr>
        <w:spacing w:before="120" w:after="120"/>
        <w:rPr>
          <w:rFonts w:ascii="Times New Roman" w:hAnsi="Times New Roman" w:cs="Times New Roman"/>
          <w:sz w:val="24"/>
          <w:szCs w:val="24"/>
        </w:rPr>
      </w:pPr>
      <w:r w:rsidRPr="0055784D">
        <w:rPr>
          <w:rFonts w:ascii="Times New Roman" w:hAnsi="Times New Roman" w:cs="Times New Roman"/>
          <w:sz w:val="24"/>
          <w:szCs w:val="24"/>
        </w:rPr>
        <w:t>Dampingin Devamı veya Yeniden Meydana Gelmesi İhtimali</w:t>
      </w:r>
      <w:bookmarkStart w:id="22" w:name="_Toc317854285"/>
      <w:bookmarkEnd w:id="19"/>
    </w:p>
    <w:p w14:paraId="6BCEBC4D" w14:textId="1D53EC04" w:rsidR="00A1068B" w:rsidRPr="0055784D" w:rsidRDefault="00A1068B" w:rsidP="004B4889">
      <w:pPr>
        <w:pStyle w:val="Balk2"/>
        <w:numPr>
          <w:ilvl w:val="1"/>
          <w:numId w:val="3"/>
        </w:numPr>
        <w:spacing w:before="120" w:after="120"/>
        <w:ind w:left="426"/>
        <w:rPr>
          <w:szCs w:val="24"/>
        </w:rPr>
      </w:pPr>
      <w:bookmarkStart w:id="23" w:name="_Toc98149752"/>
      <w:r w:rsidRPr="0055784D">
        <w:rPr>
          <w:szCs w:val="24"/>
        </w:rPr>
        <w:t>Genel</w:t>
      </w:r>
      <w:r w:rsidR="00983D60" w:rsidRPr="0055784D">
        <w:rPr>
          <w:szCs w:val="24"/>
        </w:rPr>
        <w:t xml:space="preserve"> </w:t>
      </w:r>
      <w:r w:rsidR="00B2099A" w:rsidRPr="0055784D">
        <w:rPr>
          <w:szCs w:val="24"/>
        </w:rPr>
        <w:t>açıklamalar</w:t>
      </w:r>
      <w:bookmarkEnd w:id="23"/>
    </w:p>
    <w:p w14:paraId="23B22448" w14:textId="70E7CEDB" w:rsidR="00AC1B60" w:rsidRPr="0055784D" w:rsidRDefault="008D36D5" w:rsidP="004B4889">
      <w:pPr>
        <w:pStyle w:val="Default"/>
        <w:numPr>
          <w:ilvl w:val="0"/>
          <w:numId w:val="4"/>
        </w:numPr>
        <w:spacing w:before="120" w:after="120"/>
        <w:ind w:firstLine="0"/>
        <w:jc w:val="both"/>
        <w:rPr>
          <w:bCs/>
        </w:rPr>
      </w:pPr>
      <w:bookmarkStart w:id="24" w:name="_Toc44517750"/>
      <w:bookmarkStart w:id="25" w:name="_Toc143173557"/>
      <w:r w:rsidRPr="0055784D">
        <w:rPr>
          <w:bCs/>
        </w:rPr>
        <w:t xml:space="preserve">Yönetmeliğin 35 inci maddesi çerçevesinde, önlemin yürürlükten kalkması halinde soruşturma konusu ülke kaynaklı dampingin devam etmesinin veya yeniden meydana gelmesinin muhtemel olup olmadığı incelenmiştir. </w:t>
      </w:r>
    </w:p>
    <w:p w14:paraId="3A1A0CFF" w14:textId="4BC3FA7B" w:rsidR="00BF0F0A" w:rsidRPr="0055784D" w:rsidRDefault="00AC1B60" w:rsidP="004B4889">
      <w:pPr>
        <w:pStyle w:val="Balk2"/>
        <w:numPr>
          <w:ilvl w:val="1"/>
          <w:numId w:val="3"/>
        </w:numPr>
        <w:spacing w:before="120" w:after="120"/>
        <w:ind w:left="426"/>
        <w:rPr>
          <w:szCs w:val="24"/>
        </w:rPr>
      </w:pPr>
      <w:bookmarkStart w:id="26" w:name="_Toc100244829"/>
      <w:r w:rsidRPr="0055784D">
        <w:rPr>
          <w:szCs w:val="24"/>
        </w:rPr>
        <w:t xml:space="preserve">Dampingin </w:t>
      </w:r>
      <w:r w:rsidR="00B2099A" w:rsidRPr="0055784D">
        <w:rPr>
          <w:szCs w:val="24"/>
        </w:rPr>
        <w:t>devam etme ihtimali</w:t>
      </w:r>
      <w:bookmarkEnd w:id="26"/>
    </w:p>
    <w:p w14:paraId="0945B534" w14:textId="58519269" w:rsidR="00AD7C18" w:rsidRPr="0055784D" w:rsidRDefault="00AC1B60" w:rsidP="004B4889">
      <w:pPr>
        <w:pStyle w:val="ListeParagraf"/>
        <w:numPr>
          <w:ilvl w:val="0"/>
          <w:numId w:val="7"/>
        </w:numPr>
        <w:spacing w:before="120" w:after="120"/>
        <w:ind w:firstLine="0"/>
        <w:jc w:val="both"/>
        <w:rPr>
          <w:bCs/>
        </w:rPr>
      </w:pPr>
      <w:r w:rsidRPr="0055784D">
        <w:rPr>
          <w:bCs/>
        </w:rPr>
        <w:t xml:space="preserve">Yönetmeliğin 40 </w:t>
      </w:r>
      <w:proofErr w:type="spellStart"/>
      <w:r w:rsidRPr="0055784D">
        <w:rPr>
          <w:bCs/>
        </w:rPr>
        <w:t>ıncı</w:t>
      </w:r>
      <w:proofErr w:type="spellEnd"/>
      <w:r w:rsidRPr="0055784D">
        <w:rPr>
          <w:bCs/>
        </w:rPr>
        <w:t xml:space="preserve"> ve 41 inci maddeleri çerçevesinde, soruşturma sırasında yeniden bir damping marjı hesaplanmamış, esas soruşturmada hesaplanmış olan damping marjları gösterge olarak dikkate alınmıştır.</w:t>
      </w:r>
    </w:p>
    <w:p w14:paraId="71B03493" w14:textId="7C8FE6EA" w:rsidR="0095744F" w:rsidRPr="007C588C" w:rsidRDefault="0095744F" w:rsidP="004B4889">
      <w:pPr>
        <w:pStyle w:val="Default"/>
        <w:numPr>
          <w:ilvl w:val="0"/>
          <w:numId w:val="22"/>
        </w:numPr>
        <w:spacing w:before="120" w:after="120"/>
        <w:jc w:val="both"/>
        <w:rPr>
          <w:bCs/>
          <w:color w:val="auto"/>
        </w:rPr>
      </w:pPr>
      <w:r w:rsidRPr="007C588C">
        <w:rPr>
          <w:bCs/>
          <w:color w:val="auto"/>
        </w:rPr>
        <w:t xml:space="preserve">Buna göre, İthalatta Haksız Rekabetin Önlenmesine İlişkin Tebliğ (2001/2) ile tamamlanan esas soruşturmada, ÇHC için CIF bedelin %87’si oranında damping marjı </w:t>
      </w:r>
      <w:r w:rsidR="00D23D81">
        <w:rPr>
          <w:bCs/>
          <w:color w:val="auto"/>
        </w:rPr>
        <w:t>tespit edilmiştir</w:t>
      </w:r>
      <w:r w:rsidRPr="007C588C">
        <w:rPr>
          <w:bCs/>
          <w:color w:val="auto"/>
        </w:rPr>
        <w:t>.</w:t>
      </w:r>
    </w:p>
    <w:p w14:paraId="0FDDD9DA" w14:textId="02611771" w:rsidR="0095744F" w:rsidRPr="007C588C" w:rsidRDefault="0095744F" w:rsidP="004B4889">
      <w:pPr>
        <w:pStyle w:val="Default"/>
        <w:numPr>
          <w:ilvl w:val="0"/>
          <w:numId w:val="22"/>
        </w:numPr>
        <w:spacing w:before="120" w:after="120"/>
        <w:jc w:val="both"/>
        <w:rPr>
          <w:bCs/>
          <w:color w:val="auto"/>
        </w:rPr>
      </w:pPr>
      <w:r w:rsidRPr="007C588C">
        <w:rPr>
          <w:bCs/>
          <w:color w:val="auto"/>
        </w:rPr>
        <w:t xml:space="preserve">Mevcut dampinge karşı önlemin hukuki ve idari alt yapısını teşkil eden esas soruşturma esnasında tespit edilen damping marjının, </w:t>
      </w:r>
      <w:proofErr w:type="spellStart"/>
      <w:r w:rsidR="00964ECE">
        <w:rPr>
          <w:bCs/>
          <w:color w:val="auto"/>
        </w:rPr>
        <w:t>ÇHC’de</w:t>
      </w:r>
      <w:proofErr w:type="spellEnd"/>
      <w:r w:rsidR="00964ECE">
        <w:rPr>
          <w:bCs/>
          <w:color w:val="auto"/>
        </w:rPr>
        <w:t xml:space="preserve"> yerleşik ihracatçıların</w:t>
      </w:r>
      <w:r w:rsidRPr="007C588C">
        <w:rPr>
          <w:bCs/>
          <w:color w:val="auto"/>
        </w:rPr>
        <w:t xml:space="preserve"> önlemin yürürlükten kalkması halindeki muhtemel davranışlarını yansıtacak önemli bir gösterge niteliği taşıdığı değerlendirilmektedir.</w:t>
      </w:r>
    </w:p>
    <w:p w14:paraId="0125EA1B" w14:textId="57491BE8" w:rsidR="00AD7C18" w:rsidRPr="0055784D" w:rsidRDefault="00AD7C18" w:rsidP="004B4889">
      <w:pPr>
        <w:pStyle w:val="Balk2"/>
        <w:numPr>
          <w:ilvl w:val="1"/>
          <w:numId w:val="3"/>
        </w:numPr>
        <w:spacing w:before="120" w:after="120"/>
        <w:ind w:left="426"/>
        <w:rPr>
          <w:szCs w:val="24"/>
        </w:rPr>
      </w:pPr>
      <w:r w:rsidRPr="0055784D">
        <w:rPr>
          <w:szCs w:val="24"/>
        </w:rPr>
        <w:lastRenderedPageBreak/>
        <w:t xml:space="preserve">Dampingin </w:t>
      </w:r>
      <w:r w:rsidR="00B2099A" w:rsidRPr="0055784D">
        <w:rPr>
          <w:szCs w:val="24"/>
        </w:rPr>
        <w:t>yeniden meydana gelmesi ihtimali</w:t>
      </w:r>
    </w:p>
    <w:p w14:paraId="106E1983" w14:textId="64DCFE3D" w:rsidR="00E438AA" w:rsidRPr="00494813" w:rsidRDefault="00233EA4" w:rsidP="001161E3">
      <w:pPr>
        <w:spacing w:before="120" w:after="120"/>
        <w:jc w:val="both"/>
        <w:rPr>
          <w:bCs/>
        </w:rPr>
      </w:pPr>
      <w:r>
        <w:rPr>
          <w:bCs/>
        </w:rPr>
        <w:t xml:space="preserve">(1) </w:t>
      </w:r>
      <w:r w:rsidRPr="00233EA4">
        <w:rPr>
          <w:bCs/>
        </w:rPr>
        <w:t>İhracatçı firmaların davranışlarını ve yeniden meydana gelmesi muhtemel olan dampingi göstermesi açısından soruşturma konusu ülkenin Türkiye’ye yönlendirebilecek üretim ve ihracat kapasitesi ile fiyatları ve soruşturma konusu ülkeye yönelik olarak diğer ülkeler tarafından uygulanmakta olan önlemler önem arz etmektedir.</w:t>
      </w:r>
    </w:p>
    <w:p w14:paraId="710D06CA" w14:textId="709F22D7" w:rsidR="000227B6" w:rsidRDefault="000227B6" w:rsidP="004B4889">
      <w:pPr>
        <w:pStyle w:val="Balk2"/>
        <w:numPr>
          <w:ilvl w:val="2"/>
          <w:numId w:val="3"/>
        </w:numPr>
        <w:spacing w:before="120" w:after="120"/>
        <w:ind w:left="0" w:firstLine="0"/>
        <w:rPr>
          <w:szCs w:val="24"/>
        </w:rPr>
      </w:pPr>
      <w:bookmarkStart w:id="27" w:name="_Toc157613437"/>
      <w:r w:rsidRPr="0055784D">
        <w:rPr>
          <w:szCs w:val="24"/>
        </w:rPr>
        <w:t xml:space="preserve">Soruşturma </w:t>
      </w:r>
      <w:r w:rsidR="005B3129" w:rsidRPr="0055784D">
        <w:rPr>
          <w:szCs w:val="24"/>
        </w:rPr>
        <w:t xml:space="preserve">konusu ülkenin üretim ve ihracat kapasitesi ile fiyatları </w:t>
      </w:r>
      <w:bookmarkEnd w:id="27"/>
    </w:p>
    <w:p w14:paraId="1777A435" w14:textId="7DD92C44" w:rsidR="00233EA4" w:rsidRPr="00233EA4" w:rsidRDefault="00233EA4" w:rsidP="004B4889">
      <w:pPr>
        <w:pStyle w:val="ListeParagraf"/>
        <w:numPr>
          <w:ilvl w:val="0"/>
          <w:numId w:val="23"/>
        </w:numPr>
        <w:tabs>
          <w:tab w:val="left" w:pos="360"/>
          <w:tab w:val="left" w:pos="540"/>
        </w:tabs>
        <w:spacing w:before="120" w:after="120"/>
        <w:jc w:val="both"/>
      </w:pPr>
      <w:bookmarkStart w:id="28" w:name="_Hlk171673519"/>
      <w:bookmarkStart w:id="29" w:name="_Toc157613438"/>
      <w:r w:rsidRPr="00233EA4">
        <w:rPr>
          <w:bCs/>
        </w:rPr>
        <w:t>Soruşturma konusu ülkenin üretim ve ihracat kabiliyetlerine ilişkin değerlendirmede, Uluslararası Ticaret Merkezi’nin (</w:t>
      </w:r>
      <w:r w:rsidRPr="00233EA4">
        <w:t xml:space="preserve">International </w:t>
      </w:r>
      <w:proofErr w:type="spellStart"/>
      <w:r w:rsidRPr="00233EA4">
        <w:t>Trade</w:t>
      </w:r>
      <w:proofErr w:type="spellEnd"/>
      <w:r w:rsidRPr="00233EA4">
        <w:t xml:space="preserve"> Center, </w:t>
      </w:r>
      <w:r w:rsidRPr="00233EA4">
        <w:rPr>
          <w:bCs/>
        </w:rPr>
        <w:t xml:space="preserve">ITC) 55.13, 55.14, 55.15 ve 55.16 </w:t>
      </w:r>
      <w:proofErr w:type="spellStart"/>
      <w:r w:rsidRPr="00233EA4">
        <w:rPr>
          <w:bCs/>
        </w:rPr>
        <w:t>GTP’lerine</w:t>
      </w:r>
      <w:proofErr w:type="spellEnd"/>
      <w:r w:rsidRPr="00233EA4">
        <w:rPr>
          <w:bCs/>
        </w:rPr>
        <w:t xml:space="preserve"> ilişkin </w:t>
      </w:r>
      <w:r w:rsidRPr="00233EA4">
        <w:t xml:space="preserve">2020-2022 yılları ile SD </w:t>
      </w:r>
      <w:r w:rsidRPr="00233EA4">
        <w:rPr>
          <w:bCs/>
        </w:rPr>
        <w:t>ihracat verileri kullanılmıştır.</w:t>
      </w:r>
    </w:p>
    <w:p w14:paraId="63E35487" w14:textId="77777777" w:rsidR="00233EA4" w:rsidRPr="00233EA4" w:rsidRDefault="00233EA4" w:rsidP="004B4889">
      <w:pPr>
        <w:numPr>
          <w:ilvl w:val="0"/>
          <w:numId w:val="23"/>
        </w:numPr>
        <w:tabs>
          <w:tab w:val="left" w:pos="360"/>
          <w:tab w:val="left" w:pos="540"/>
        </w:tabs>
        <w:spacing w:before="120" w:after="120"/>
        <w:jc w:val="both"/>
        <w:rPr>
          <w:bCs/>
          <w:lang w:eastAsia="en-US"/>
        </w:rPr>
      </w:pPr>
      <w:r w:rsidRPr="00233EA4">
        <w:rPr>
          <w:bCs/>
          <w:lang w:eastAsia="en-US"/>
        </w:rPr>
        <w:t>ITC tarafından sağlanan verilerin birimi ülkelere göre “karışık”, “1000 m</w:t>
      </w:r>
      <w:r w:rsidRPr="00B2099A">
        <w:rPr>
          <w:bCs/>
          <w:vertAlign w:val="superscript"/>
          <w:lang w:eastAsia="en-US"/>
        </w:rPr>
        <w:t>2</w:t>
      </w:r>
      <w:r w:rsidRPr="00233EA4">
        <w:rPr>
          <w:bCs/>
          <w:lang w:eastAsia="en-US"/>
        </w:rPr>
        <w:t>” veya “ton” olarak değişmekte, ulusal veri kaynaklarıyla uyumsuzluk gösterebilmektedir. Bu çerçevede, değerlendirmelerde bahse konu kısıtlar da göz önünde bulundurulmuştur.</w:t>
      </w:r>
    </w:p>
    <w:p w14:paraId="232E9FA1" w14:textId="0E49535F" w:rsidR="00233EA4" w:rsidRPr="00233EA4" w:rsidRDefault="00C11E73" w:rsidP="004B4889">
      <w:pPr>
        <w:numPr>
          <w:ilvl w:val="0"/>
          <w:numId w:val="23"/>
        </w:numPr>
        <w:tabs>
          <w:tab w:val="left" w:pos="360"/>
          <w:tab w:val="left" w:pos="540"/>
        </w:tabs>
        <w:spacing w:before="120" w:after="120"/>
        <w:jc w:val="both"/>
        <w:rPr>
          <w:bCs/>
          <w:lang w:eastAsia="en-US"/>
        </w:rPr>
      </w:pPr>
      <w:r>
        <w:rPr>
          <w:bCs/>
          <w:lang w:eastAsia="en-US"/>
        </w:rPr>
        <w:t xml:space="preserve">Soruşturma </w:t>
      </w:r>
      <w:r w:rsidR="00233EA4" w:rsidRPr="00233EA4">
        <w:rPr>
          <w:bCs/>
          <w:lang w:eastAsia="en-US"/>
        </w:rPr>
        <w:t xml:space="preserve">konusu ürünün dünya ihracat hacminin 2020 yılında 9,7 milyar ABD doları, 2021 yılında 11,7 milyar ABD doları, 2022 yılında 12,9 milyar ABD doları, </w:t>
      </w:r>
      <w:proofErr w:type="spellStart"/>
      <w:r w:rsidR="00233EA4" w:rsidRPr="00233EA4">
        <w:rPr>
          <w:bCs/>
          <w:lang w:eastAsia="en-US"/>
        </w:rPr>
        <w:t>SD’de</w:t>
      </w:r>
      <w:proofErr w:type="spellEnd"/>
      <w:r w:rsidR="00233EA4" w:rsidRPr="00233EA4">
        <w:rPr>
          <w:bCs/>
          <w:lang w:eastAsia="en-US"/>
        </w:rPr>
        <w:t xml:space="preserve"> ise 11,9 milyar ABD doları seviyelerinde gerçekleştiği görülmektedir. </w:t>
      </w:r>
    </w:p>
    <w:p w14:paraId="75F6287C" w14:textId="1E24009D" w:rsidR="005B3129" w:rsidRDefault="005B3129" w:rsidP="004B4889">
      <w:pPr>
        <w:numPr>
          <w:ilvl w:val="0"/>
          <w:numId w:val="23"/>
        </w:numPr>
        <w:tabs>
          <w:tab w:val="left" w:pos="360"/>
          <w:tab w:val="left" w:pos="540"/>
        </w:tabs>
        <w:spacing w:before="120" w:after="120"/>
        <w:jc w:val="both"/>
        <w:rPr>
          <w:bCs/>
          <w:lang w:eastAsia="en-US"/>
        </w:rPr>
      </w:pPr>
      <w:proofErr w:type="spellStart"/>
      <w:r w:rsidRPr="00233EA4">
        <w:rPr>
          <w:bCs/>
          <w:lang w:eastAsia="en-US"/>
        </w:rPr>
        <w:t>ÇHC’nin</w:t>
      </w:r>
      <w:proofErr w:type="spellEnd"/>
      <w:r w:rsidRPr="00233EA4">
        <w:rPr>
          <w:bCs/>
          <w:lang w:eastAsia="en-US"/>
        </w:rPr>
        <w:t xml:space="preserve"> anılan üründe dünyaya ihracatı</w:t>
      </w:r>
      <w:r>
        <w:rPr>
          <w:bCs/>
          <w:lang w:eastAsia="en-US"/>
        </w:rPr>
        <w:t>nın, 2020 yılında 922</w:t>
      </w:r>
      <w:r w:rsidR="000C1D25">
        <w:rPr>
          <w:bCs/>
          <w:lang w:eastAsia="en-US"/>
        </w:rPr>
        <w:t>.118</w:t>
      </w:r>
      <w:r>
        <w:rPr>
          <w:bCs/>
          <w:lang w:eastAsia="en-US"/>
        </w:rPr>
        <w:t xml:space="preserve"> ton, 2021 yılında 1.072</w:t>
      </w:r>
      <w:r w:rsidR="000C1D25">
        <w:rPr>
          <w:bCs/>
          <w:lang w:eastAsia="en-US"/>
        </w:rPr>
        <w:t>.012</w:t>
      </w:r>
      <w:r>
        <w:rPr>
          <w:bCs/>
          <w:lang w:eastAsia="en-US"/>
        </w:rPr>
        <w:t xml:space="preserve"> ton, 2022 yılında 1.137</w:t>
      </w:r>
      <w:r w:rsidR="000C1D25">
        <w:rPr>
          <w:bCs/>
          <w:lang w:eastAsia="en-US"/>
        </w:rPr>
        <w:t xml:space="preserve">.217 </w:t>
      </w:r>
      <w:r>
        <w:rPr>
          <w:bCs/>
          <w:lang w:eastAsia="en-US"/>
        </w:rPr>
        <w:t xml:space="preserve">ton ve </w:t>
      </w:r>
      <w:proofErr w:type="spellStart"/>
      <w:r>
        <w:rPr>
          <w:bCs/>
          <w:lang w:eastAsia="en-US"/>
        </w:rPr>
        <w:t>SD’de</w:t>
      </w:r>
      <w:proofErr w:type="spellEnd"/>
      <w:r>
        <w:rPr>
          <w:bCs/>
          <w:lang w:eastAsia="en-US"/>
        </w:rPr>
        <w:t xml:space="preserve"> 1.126</w:t>
      </w:r>
      <w:r w:rsidR="000C1D25">
        <w:rPr>
          <w:bCs/>
          <w:lang w:eastAsia="en-US"/>
        </w:rPr>
        <w:t>.377</w:t>
      </w:r>
      <w:r>
        <w:rPr>
          <w:bCs/>
          <w:lang w:eastAsia="en-US"/>
        </w:rPr>
        <w:t xml:space="preserve"> ton seviyelerinde gerçekleştiği görülmektedir.</w:t>
      </w:r>
    </w:p>
    <w:p w14:paraId="0997BB47" w14:textId="77777777" w:rsidR="005B3129" w:rsidRDefault="00233EA4" w:rsidP="004B4889">
      <w:pPr>
        <w:numPr>
          <w:ilvl w:val="0"/>
          <w:numId w:val="23"/>
        </w:numPr>
        <w:tabs>
          <w:tab w:val="left" w:pos="360"/>
          <w:tab w:val="left" w:pos="540"/>
        </w:tabs>
        <w:spacing w:before="120" w:after="120"/>
        <w:jc w:val="both"/>
        <w:rPr>
          <w:bCs/>
          <w:lang w:eastAsia="en-US"/>
        </w:rPr>
      </w:pPr>
      <w:proofErr w:type="spellStart"/>
      <w:r w:rsidRPr="00233EA4">
        <w:rPr>
          <w:bCs/>
          <w:lang w:eastAsia="en-US"/>
        </w:rPr>
        <w:t>ÇHC’nin</w:t>
      </w:r>
      <w:proofErr w:type="spellEnd"/>
      <w:r w:rsidRPr="00233EA4">
        <w:rPr>
          <w:bCs/>
          <w:lang w:eastAsia="en-US"/>
        </w:rPr>
        <w:t xml:space="preserve"> anılan üründe dünyaya ihracatı </w:t>
      </w:r>
      <w:r w:rsidR="005B3129">
        <w:rPr>
          <w:bCs/>
          <w:lang w:eastAsia="en-US"/>
        </w:rPr>
        <w:t xml:space="preserve">değer bazında </w:t>
      </w:r>
      <w:r w:rsidRPr="00233EA4">
        <w:rPr>
          <w:bCs/>
          <w:lang w:eastAsia="en-US"/>
        </w:rPr>
        <w:t xml:space="preserve">2020 yılında 5,5 milyar ABD doları, 2021 yılında 6,8 milyar ABD doları, 2022 yılında 7,7 milyar ABD doları, </w:t>
      </w:r>
      <w:proofErr w:type="spellStart"/>
      <w:r w:rsidRPr="00233EA4">
        <w:rPr>
          <w:bCs/>
          <w:lang w:eastAsia="en-US"/>
        </w:rPr>
        <w:t>SD’de</w:t>
      </w:r>
      <w:proofErr w:type="spellEnd"/>
      <w:r w:rsidRPr="00233EA4">
        <w:rPr>
          <w:bCs/>
          <w:lang w:eastAsia="en-US"/>
        </w:rPr>
        <w:t xml:space="preserve"> ise 7,1 milyar ABD doları seviyelerinde gerçekleş</w:t>
      </w:r>
      <w:r w:rsidR="005B3129">
        <w:rPr>
          <w:bCs/>
          <w:lang w:eastAsia="en-US"/>
        </w:rPr>
        <w:t xml:space="preserve">miştir. </w:t>
      </w:r>
    </w:p>
    <w:p w14:paraId="7FEE937A" w14:textId="1CF83E7B" w:rsidR="005962F1" w:rsidRPr="00233EA4" w:rsidRDefault="00233EA4" w:rsidP="004B4889">
      <w:pPr>
        <w:numPr>
          <w:ilvl w:val="0"/>
          <w:numId w:val="23"/>
        </w:numPr>
        <w:tabs>
          <w:tab w:val="left" w:pos="360"/>
          <w:tab w:val="left" w:pos="540"/>
        </w:tabs>
        <w:spacing w:before="120" w:after="120"/>
        <w:jc w:val="both"/>
        <w:rPr>
          <w:bCs/>
          <w:lang w:eastAsia="en-US"/>
        </w:rPr>
      </w:pPr>
      <w:proofErr w:type="spellStart"/>
      <w:r w:rsidRPr="00233EA4">
        <w:rPr>
          <w:bCs/>
          <w:lang w:eastAsia="en-US"/>
        </w:rPr>
        <w:t>ÇHC’nin</w:t>
      </w:r>
      <w:proofErr w:type="spellEnd"/>
      <w:r w:rsidRPr="00233EA4">
        <w:rPr>
          <w:bCs/>
          <w:lang w:eastAsia="en-US"/>
        </w:rPr>
        <w:t xml:space="preserve"> dünya ihracatından aldığı değer bazındaki payın 2020 yılında %56, 2021 yılında %58, 2022 yılında ve </w:t>
      </w:r>
      <w:proofErr w:type="spellStart"/>
      <w:r w:rsidRPr="00233EA4">
        <w:rPr>
          <w:bCs/>
          <w:lang w:eastAsia="en-US"/>
        </w:rPr>
        <w:t>SD’de</w:t>
      </w:r>
      <w:proofErr w:type="spellEnd"/>
      <w:r w:rsidRPr="00233EA4">
        <w:rPr>
          <w:bCs/>
          <w:lang w:eastAsia="en-US"/>
        </w:rPr>
        <w:t xml:space="preserve"> %60 seviyelerinde olduğu görülmektedir. </w:t>
      </w:r>
    </w:p>
    <w:bookmarkEnd w:id="28"/>
    <w:p w14:paraId="3E2900D9" w14:textId="5A84A56B" w:rsidR="000227B6" w:rsidRDefault="000227B6" w:rsidP="004B4889">
      <w:pPr>
        <w:pStyle w:val="Balk2"/>
        <w:numPr>
          <w:ilvl w:val="2"/>
          <w:numId w:val="3"/>
        </w:numPr>
        <w:spacing w:before="120" w:after="120"/>
        <w:ind w:left="0" w:right="-142" w:firstLine="0"/>
        <w:rPr>
          <w:szCs w:val="24"/>
        </w:rPr>
      </w:pPr>
      <w:r w:rsidRPr="0055784D">
        <w:rPr>
          <w:szCs w:val="24"/>
        </w:rPr>
        <w:t xml:space="preserve">Diğer </w:t>
      </w:r>
      <w:r w:rsidR="005B3129" w:rsidRPr="0055784D">
        <w:rPr>
          <w:szCs w:val="24"/>
        </w:rPr>
        <w:t>ülkeler tarafından uygulanmakta olan önlemler</w:t>
      </w:r>
      <w:r w:rsidRPr="0055784D">
        <w:rPr>
          <w:rStyle w:val="DipnotBavurusu"/>
          <w:szCs w:val="24"/>
        </w:rPr>
        <w:footnoteReference w:id="1"/>
      </w:r>
      <w:bookmarkEnd w:id="29"/>
    </w:p>
    <w:p w14:paraId="4D4AC172" w14:textId="3506D14F" w:rsidR="005962F1" w:rsidRDefault="005962F1" w:rsidP="001161E3">
      <w:pPr>
        <w:spacing w:before="120" w:after="120"/>
        <w:jc w:val="both"/>
      </w:pPr>
      <w:bookmarkStart w:id="30" w:name="_Toc143173558"/>
      <w:bookmarkEnd w:id="24"/>
      <w:bookmarkEnd w:id="25"/>
      <w:r w:rsidRPr="002A3DB9">
        <w:t xml:space="preserve">(1) </w:t>
      </w:r>
      <w:bookmarkStart w:id="31" w:name="_Hlk171673580"/>
      <w:r w:rsidR="00205CBD">
        <w:t>Soruşturma</w:t>
      </w:r>
      <w:r w:rsidRPr="002A3DB9">
        <w:t xml:space="preserve"> konusu üründe </w:t>
      </w:r>
      <w:r>
        <w:t>soruşturma</w:t>
      </w:r>
      <w:r w:rsidRPr="002A3DB9">
        <w:t xml:space="preserve"> konusu ülkeye diğer ülkeler tarafından uygulanan dampinge karşı önlemler, ihracatçı firmaların davranışlarını ve muhtemel olan dampingli ithalatı göstermesi açısından önem taşımaktadır. </w:t>
      </w:r>
    </w:p>
    <w:p w14:paraId="47EBFDF1" w14:textId="5E86C8B5" w:rsidR="005962F1" w:rsidRDefault="005962F1" w:rsidP="001161E3">
      <w:pPr>
        <w:spacing w:before="120" w:after="120"/>
        <w:jc w:val="both"/>
      </w:pPr>
      <w:r w:rsidRPr="008A28D1">
        <w:t xml:space="preserve">(2) </w:t>
      </w:r>
      <w:r w:rsidR="00233EA4" w:rsidRPr="007C588C">
        <w:t xml:space="preserve">Bu çerçevede, Peru Cumhuriyeti (Peru) tarafından ÇHC menşeli soruşturma konusu ürünün 55.13 GTP altında kayıtlı polyester/pamuk karışımlarından dokunmuş kumaşlar </w:t>
      </w:r>
      <w:r w:rsidR="005B3129">
        <w:t>olanına</w:t>
      </w:r>
      <w:r w:rsidR="00233EA4" w:rsidRPr="007C588C">
        <w:t xml:space="preserve"> yönelik 19/11/2021 tarihinde kilogram başına 2,08 ABD doları tutarında dampinge karşı önlem yürürlüğe konulmuştur.</w:t>
      </w:r>
    </w:p>
    <w:bookmarkEnd w:id="31"/>
    <w:p w14:paraId="4C44D504" w14:textId="77777777" w:rsidR="004F68D7" w:rsidRPr="0055784D" w:rsidRDefault="004F68D7" w:rsidP="001161E3">
      <w:pPr>
        <w:pStyle w:val="ListeParagraf"/>
        <w:keepNext/>
        <w:keepLines/>
        <w:numPr>
          <w:ilvl w:val="0"/>
          <w:numId w:val="1"/>
        </w:numPr>
        <w:spacing w:before="120" w:after="120"/>
        <w:outlineLvl w:val="1"/>
        <w:rPr>
          <w:rFonts w:eastAsiaTheme="majorEastAsia" w:cstheme="majorBidi"/>
          <w:b/>
          <w:vanish/>
        </w:rPr>
      </w:pPr>
    </w:p>
    <w:p w14:paraId="0A5F29AF" w14:textId="77777777" w:rsidR="004F68D7" w:rsidRPr="0055784D" w:rsidRDefault="004F68D7" w:rsidP="001161E3">
      <w:pPr>
        <w:pStyle w:val="ListeParagraf"/>
        <w:keepNext/>
        <w:keepLines/>
        <w:numPr>
          <w:ilvl w:val="0"/>
          <w:numId w:val="1"/>
        </w:numPr>
        <w:spacing w:before="120" w:after="120"/>
        <w:outlineLvl w:val="1"/>
        <w:rPr>
          <w:rFonts w:eastAsiaTheme="majorEastAsia" w:cstheme="majorBidi"/>
          <w:b/>
          <w:vanish/>
        </w:rPr>
      </w:pPr>
    </w:p>
    <w:p w14:paraId="3BC1D561" w14:textId="77777777" w:rsidR="004F68D7" w:rsidRPr="0055784D" w:rsidRDefault="004F68D7" w:rsidP="001161E3">
      <w:pPr>
        <w:pStyle w:val="ListeParagraf"/>
        <w:keepNext/>
        <w:keepLines/>
        <w:numPr>
          <w:ilvl w:val="1"/>
          <w:numId w:val="1"/>
        </w:numPr>
        <w:spacing w:before="120" w:after="120"/>
        <w:outlineLvl w:val="1"/>
        <w:rPr>
          <w:rFonts w:eastAsiaTheme="majorEastAsia" w:cstheme="majorBidi"/>
          <w:b/>
          <w:vanish/>
        </w:rPr>
      </w:pPr>
    </w:p>
    <w:p w14:paraId="73EF92E7" w14:textId="77777777" w:rsidR="004F68D7" w:rsidRPr="0055784D" w:rsidRDefault="004F68D7" w:rsidP="001161E3">
      <w:pPr>
        <w:pStyle w:val="ListeParagraf"/>
        <w:keepNext/>
        <w:keepLines/>
        <w:numPr>
          <w:ilvl w:val="1"/>
          <w:numId w:val="1"/>
        </w:numPr>
        <w:spacing w:before="120" w:after="120"/>
        <w:outlineLvl w:val="1"/>
        <w:rPr>
          <w:rFonts w:eastAsiaTheme="majorEastAsia" w:cstheme="majorBidi"/>
          <w:b/>
          <w:vanish/>
        </w:rPr>
      </w:pPr>
    </w:p>
    <w:p w14:paraId="5E59DA2A" w14:textId="77777777" w:rsidR="004F68D7" w:rsidRPr="0055784D" w:rsidRDefault="004F68D7" w:rsidP="001161E3">
      <w:pPr>
        <w:pStyle w:val="ListeParagraf"/>
        <w:keepNext/>
        <w:keepLines/>
        <w:numPr>
          <w:ilvl w:val="1"/>
          <w:numId w:val="1"/>
        </w:numPr>
        <w:spacing w:before="120" w:after="120"/>
        <w:outlineLvl w:val="1"/>
        <w:rPr>
          <w:rFonts w:eastAsiaTheme="majorEastAsia" w:cstheme="majorBidi"/>
          <w:b/>
          <w:vanish/>
        </w:rPr>
      </w:pPr>
    </w:p>
    <w:p w14:paraId="08E25CF0" w14:textId="2D909D7F" w:rsidR="00E27949" w:rsidRPr="001161E3" w:rsidRDefault="00E27949" w:rsidP="004B4889">
      <w:pPr>
        <w:pStyle w:val="Balk2"/>
        <w:numPr>
          <w:ilvl w:val="1"/>
          <w:numId w:val="9"/>
        </w:numPr>
        <w:spacing w:before="120" w:after="120"/>
        <w:jc w:val="both"/>
      </w:pPr>
      <w:bookmarkStart w:id="32" w:name="_Toc162275016"/>
      <w:bookmarkStart w:id="33" w:name="_Toc98149757"/>
      <w:bookmarkEnd w:id="22"/>
      <w:bookmarkEnd w:id="30"/>
      <w:r w:rsidRPr="001161E3">
        <w:t xml:space="preserve">Dampingin </w:t>
      </w:r>
      <w:r w:rsidR="005B3129" w:rsidRPr="001161E3">
        <w:t>devamı veya yeniden meydana gelmesi ihtimaline ilişkin değerlendirme</w:t>
      </w:r>
      <w:bookmarkEnd w:id="32"/>
      <w:r w:rsidR="005B3129" w:rsidRPr="001161E3">
        <w:t xml:space="preserve"> </w:t>
      </w:r>
    </w:p>
    <w:p w14:paraId="7D6A20AB" w14:textId="77777777" w:rsidR="00233EA4" w:rsidRPr="00233EA4" w:rsidRDefault="00227002" w:rsidP="00233EA4">
      <w:pPr>
        <w:spacing w:before="120" w:after="120"/>
        <w:jc w:val="both"/>
      </w:pPr>
      <w:r w:rsidRPr="002D21F2">
        <w:rPr>
          <w:color w:val="000000"/>
        </w:rPr>
        <w:t xml:space="preserve">(1) </w:t>
      </w:r>
      <w:bookmarkStart w:id="34" w:name="_Toc223945996"/>
      <w:bookmarkStart w:id="35" w:name="_Toc239562543"/>
      <w:bookmarkStart w:id="36" w:name="_Toc133315941"/>
      <w:r w:rsidR="00233EA4" w:rsidRPr="00233EA4">
        <w:t>Yapılan inceleme sonucunda;</w:t>
      </w:r>
    </w:p>
    <w:p w14:paraId="6B74414C" w14:textId="763EB629" w:rsidR="00233EA4" w:rsidRDefault="00233EA4" w:rsidP="004B4889">
      <w:pPr>
        <w:numPr>
          <w:ilvl w:val="0"/>
          <w:numId w:val="24"/>
        </w:numPr>
        <w:spacing w:before="120" w:after="120"/>
        <w:ind w:left="709" w:hanging="349"/>
        <w:jc w:val="both"/>
      </w:pPr>
      <w:r w:rsidRPr="00233EA4">
        <w:t>Önlemin kalkması halinde soruşturma konusu ülkenin davranışlarını göstermesi açısından önemli bir gösterge niteliğinde olan esas soruşturmada tespit edilen damping marjının önemli bir seviyede olduğu,</w:t>
      </w:r>
    </w:p>
    <w:p w14:paraId="5EDF3B4E" w14:textId="122BFC9D" w:rsidR="00295161" w:rsidRPr="00233EA4" w:rsidRDefault="00295161" w:rsidP="00295161">
      <w:pPr>
        <w:numPr>
          <w:ilvl w:val="0"/>
          <w:numId w:val="24"/>
        </w:numPr>
        <w:spacing w:before="120" w:after="120"/>
        <w:ind w:left="709" w:hanging="349"/>
        <w:jc w:val="both"/>
      </w:pPr>
      <w:r w:rsidRPr="00233EA4">
        <w:lastRenderedPageBreak/>
        <w:t xml:space="preserve">Soruşturma konusu üründe dünyadaki en büyük ihracatçı ve tedarikçi ülke olan </w:t>
      </w:r>
      <w:proofErr w:type="spellStart"/>
      <w:r w:rsidRPr="00233EA4">
        <w:rPr>
          <w:bCs/>
        </w:rPr>
        <w:t>ÇHC’nin</w:t>
      </w:r>
      <w:proofErr w:type="spellEnd"/>
      <w:r w:rsidRPr="00233EA4">
        <w:t xml:space="preserve"> </w:t>
      </w:r>
      <w:bookmarkStart w:id="37" w:name="_Hlk200447296"/>
      <w:r w:rsidRPr="00233EA4">
        <w:t>hâlihazırda Türkiye’ye yönlendirebileceği önemli üretim kapasitesinin ve ihracat kabiliyetinin bulunduğu</w:t>
      </w:r>
      <w:bookmarkEnd w:id="37"/>
      <w:r w:rsidRPr="00233EA4">
        <w:t xml:space="preserve">, </w:t>
      </w:r>
    </w:p>
    <w:p w14:paraId="65F9E024" w14:textId="3C86D965" w:rsidR="00233EA4" w:rsidRPr="00233EA4" w:rsidRDefault="00233EA4" w:rsidP="004B4889">
      <w:pPr>
        <w:numPr>
          <w:ilvl w:val="0"/>
          <w:numId w:val="24"/>
        </w:numPr>
        <w:spacing w:before="120" w:after="120"/>
        <w:ind w:left="709" w:hanging="349"/>
        <w:jc w:val="both"/>
      </w:pPr>
      <w:proofErr w:type="spellStart"/>
      <w:r w:rsidRPr="00233EA4">
        <w:rPr>
          <w:bCs/>
        </w:rPr>
        <w:t>ÇHC’nin</w:t>
      </w:r>
      <w:proofErr w:type="spellEnd"/>
      <w:r w:rsidRPr="00233EA4">
        <w:rPr>
          <w:bCs/>
        </w:rPr>
        <w:t xml:space="preserve"> </w:t>
      </w:r>
      <w:r w:rsidR="00295161">
        <w:rPr>
          <w:bCs/>
        </w:rPr>
        <w:t>fiyata duyarlı söz konusu ürün ihracatını büyük miktarda ve kolaylıkla Türkiye pazarına yönlendirebileceği,</w:t>
      </w:r>
    </w:p>
    <w:p w14:paraId="54FF47BA" w14:textId="5F6741E0" w:rsidR="00233EA4" w:rsidRPr="00233EA4" w:rsidRDefault="00233EA4" w:rsidP="004B4889">
      <w:pPr>
        <w:numPr>
          <w:ilvl w:val="0"/>
          <w:numId w:val="24"/>
        </w:numPr>
        <w:spacing w:before="120" w:after="120"/>
        <w:ind w:left="709" w:hanging="349"/>
        <w:jc w:val="both"/>
      </w:pPr>
      <w:r w:rsidRPr="00233EA4">
        <w:t>Peru tarafından ÇHC menşeli soruşturma konusu ürünün 55.13 GTP altında kayıtlı olanlarına yönelik olan dampinge karşı önlemin halen yürürlükte olduğu</w:t>
      </w:r>
      <w:r w:rsidR="0040748D">
        <w:t>,</w:t>
      </w:r>
    </w:p>
    <w:p w14:paraId="43346103" w14:textId="35DD92B8" w:rsidR="00227002" w:rsidRPr="00233EA4" w:rsidRDefault="00233EA4" w:rsidP="002B0B34">
      <w:pPr>
        <w:spacing w:before="120" w:after="120"/>
        <w:ind w:firstLine="360"/>
        <w:jc w:val="both"/>
        <w:rPr>
          <w:bCs/>
        </w:rPr>
      </w:pPr>
      <w:proofErr w:type="gramStart"/>
      <w:r w:rsidRPr="00233EA4">
        <w:t>hususları</w:t>
      </w:r>
      <w:proofErr w:type="gramEnd"/>
      <w:r w:rsidRPr="00233EA4">
        <w:t xml:space="preserve"> birlikte değerlendirildiğinde,</w:t>
      </w:r>
      <w:r w:rsidRPr="00233EA4">
        <w:rPr>
          <w:bCs/>
        </w:rPr>
        <w:t xml:space="preserve"> </w:t>
      </w:r>
      <w:r w:rsidR="000C1D25">
        <w:rPr>
          <w:bCs/>
        </w:rPr>
        <w:t xml:space="preserve">mevcut </w:t>
      </w:r>
      <w:r w:rsidRPr="00233EA4">
        <w:rPr>
          <w:bCs/>
        </w:rPr>
        <w:t>önlemin yürürlükten kalkması halinde dampingin devam etmesinin veya yeniden meydana gelmesinin muhtem</w:t>
      </w:r>
      <w:r>
        <w:rPr>
          <w:bCs/>
        </w:rPr>
        <w:t>el olduğu değerlendirilmektedir</w:t>
      </w:r>
      <w:r w:rsidR="00227002" w:rsidRPr="00173A84">
        <w:rPr>
          <w:color w:val="000000"/>
        </w:rPr>
        <w:t>.</w:t>
      </w:r>
    </w:p>
    <w:bookmarkEnd w:id="34"/>
    <w:bookmarkEnd w:id="35"/>
    <w:bookmarkEnd w:id="36"/>
    <w:p w14:paraId="1D3F5B40" w14:textId="77777777" w:rsidR="00E63906" w:rsidRPr="0055784D" w:rsidRDefault="00101D28" w:rsidP="004B4889">
      <w:pPr>
        <w:pStyle w:val="Balk1"/>
        <w:numPr>
          <w:ilvl w:val="0"/>
          <w:numId w:val="3"/>
        </w:numPr>
        <w:spacing w:before="120" w:after="120"/>
        <w:rPr>
          <w:rFonts w:ascii="Times New Roman" w:hAnsi="Times New Roman" w:cs="Times New Roman"/>
          <w:sz w:val="24"/>
          <w:szCs w:val="24"/>
        </w:rPr>
      </w:pPr>
      <w:r w:rsidRPr="0055784D">
        <w:rPr>
          <w:rFonts w:ascii="Times New Roman" w:hAnsi="Times New Roman" w:cs="Times New Roman"/>
          <w:sz w:val="24"/>
          <w:szCs w:val="24"/>
        </w:rPr>
        <w:t>Zararın Devamı veya Yeniden Meydana Gelmesi İhtimali</w:t>
      </w:r>
      <w:bookmarkEnd w:id="33"/>
    </w:p>
    <w:p w14:paraId="229C609F" w14:textId="7E358C19" w:rsidR="00DC6AC5" w:rsidRDefault="00416783" w:rsidP="004B4889">
      <w:pPr>
        <w:pStyle w:val="Balk2"/>
        <w:numPr>
          <w:ilvl w:val="1"/>
          <w:numId w:val="3"/>
        </w:numPr>
        <w:spacing w:before="120" w:after="120"/>
        <w:ind w:left="426"/>
        <w:rPr>
          <w:szCs w:val="24"/>
        </w:rPr>
      </w:pPr>
      <w:bookmarkStart w:id="38" w:name="_Toc317854287"/>
      <w:bookmarkStart w:id="39" w:name="_Toc98149758"/>
      <w:r w:rsidRPr="0055784D">
        <w:rPr>
          <w:szCs w:val="24"/>
        </w:rPr>
        <w:t xml:space="preserve">Genel </w:t>
      </w:r>
      <w:r w:rsidR="009864CB" w:rsidRPr="0055784D">
        <w:rPr>
          <w:szCs w:val="24"/>
        </w:rPr>
        <w:t>açıklamalar</w:t>
      </w:r>
      <w:bookmarkEnd w:id="38"/>
      <w:bookmarkEnd w:id="39"/>
    </w:p>
    <w:p w14:paraId="0E7B03C4" w14:textId="61CD02EB" w:rsidR="00321D50" w:rsidRPr="00321D50" w:rsidRDefault="00321D50" w:rsidP="004B4889">
      <w:pPr>
        <w:pStyle w:val="Default"/>
        <w:numPr>
          <w:ilvl w:val="0"/>
          <w:numId w:val="25"/>
        </w:numPr>
        <w:spacing w:before="120" w:after="120"/>
        <w:ind w:firstLine="0"/>
        <w:jc w:val="both"/>
      </w:pPr>
      <w:bookmarkStart w:id="40" w:name="_Hlk171673617"/>
      <w:r w:rsidRPr="00321D50">
        <w:t>Yönetmeliğin 35 inci maddesi çerçevesinde, gözden geçirme döneminde yerli üretim dalının ekonomik göstergeleri ve önlemin yürürlükten kalkması halinde zararın devam etmesinin veya yeniden meydana gelmesinin muhtemel olup olmadığı incelenmiştir. Bu kapsamda, ithalatın mutlak ve nispi olarak gelişimi, ithalat fiyatlarının seyri ile yerli üretim dalının ekonomik göstergeleri değerlendirilmiştir. Yerli üretim dalının ekonomik göstergeleri 1/1/2020-30/6/2023 dönemi için analiz edilmiş olup 1/7/2022-30/6/2023 dönemi SD olarak belirlenmiştir.</w:t>
      </w:r>
    </w:p>
    <w:p w14:paraId="2868C307" w14:textId="08E3680A" w:rsidR="00595693" w:rsidRPr="00A04BDE" w:rsidRDefault="00321D50" w:rsidP="004B4889">
      <w:pPr>
        <w:numPr>
          <w:ilvl w:val="0"/>
          <w:numId w:val="25"/>
        </w:numPr>
        <w:autoSpaceDE w:val="0"/>
        <w:autoSpaceDN w:val="0"/>
        <w:adjustRightInd w:val="0"/>
        <w:spacing w:before="120" w:after="120"/>
        <w:ind w:firstLine="0"/>
        <w:jc w:val="both"/>
      </w:pPr>
      <w:r w:rsidRPr="00321D50">
        <w:t xml:space="preserve">Soruşturma konusu ürünün genel ithalatı ve soruşturma konusu ülkelerden yapılan ithalatın incelenmesinde Bakanlığımız KDS veri tabanı Özel Ticaret Sistemi (ÖTS) </w:t>
      </w:r>
      <w:r>
        <w:t>verileri kullanılmıştır</w:t>
      </w:r>
      <w:r w:rsidR="00595693" w:rsidRPr="005F2958">
        <w:t>.</w:t>
      </w:r>
      <w:bookmarkEnd w:id="40"/>
    </w:p>
    <w:p w14:paraId="050F1EE4" w14:textId="431C2B5A" w:rsidR="00C5448E" w:rsidRDefault="00E01E13" w:rsidP="004B4889">
      <w:pPr>
        <w:pStyle w:val="Balk2"/>
        <w:numPr>
          <w:ilvl w:val="1"/>
          <w:numId w:val="3"/>
        </w:numPr>
        <w:spacing w:before="120" w:after="120"/>
        <w:ind w:left="426"/>
        <w:rPr>
          <w:szCs w:val="24"/>
        </w:rPr>
      </w:pPr>
      <w:bookmarkStart w:id="41" w:name="_Toc98149759"/>
      <w:r w:rsidRPr="0055784D">
        <w:rPr>
          <w:szCs w:val="24"/>
        </w:rPr>
        <w:t xml:space="preserve">Ürünün </w:t>
      </w:r>
      <w:r w:rsidR="009864CB" w:rsidRPr="0055784D">
        <w:rPr>
          <w:szCs w:val="24"/>
        </w:rPr>
        <w:t xml:space="preserve">genel ithalatının mutlak gelişimi ve fiyatları </w:t>
      </w:r>
      <w:bookmarkEnd w:id="41"/>
    </w:p>
    <w:p w14:paraId="34CE158B" w14:textId="0051CD05" w:rsidR="00321D50" w:rsidRPr="00321D50" w:rsidRDefault="00321D50" w:rsidP="004B4889">
      <w:pPr>
        <w:pStyle w:val="Default"/>
        <w:numPr>
          <w:ilvl w:val="0"/>
          <w:numId w:val="26"/>
        </w:numPr>
        <w:spacing w:before="120" w:after="120"/>
        <w:ind w:firstLine="0"/>
        <w:jc w:val="both"/>
      </w:pPr>
      <w:bookmarkStart w:id="42" w:name="_Hlk171673634"/>
      <w:r w:rsidRPr="00321D50">
        <w:t>Soruşturma konusu ürüne ilişkin genel ithalat istatistikler</w:t>
      </w:r>
      <w:r w:rsidR="000C1D25">
        <w:t>i incelendiğinde</w:t>
      </w:r>
      <w:r w:rsidRPr="00321D50">
        <w:t xml:space="preserve">, ürünün 2020 yılında </w:t>
      </w:r>
      <w:r w:rsidRPr="00321D50">
        <w:rPr>
          <w:bCs/>
        </w:rPr>
        <w:t xml:space="preserve">15.175 </w:t>
      </w:r>
      <w:r w:rsidRPr="00321D50">
        <w:t xml:space="preserve">ton olan ithalat miktarının </w:t>
      </w:r>
      <w:r w:rsidRPr="00321D50">
        <w:rPr>
          <w:bCs/>
        </w:rPr>
        <w:t xml:space="preserve">2021 yılında 15.217 ton, 2022 yılında 19.536 ton ve </w:t>
      </w:r>
      <w:proofErr w:type="spellStart"/>
      <w:r w:rsidRPr="00321D50">
        <w:rPr>
          <w:bCs/>
        </w:rPr>
        <w:t>SD’de</w:t>
      </w:r>
      <w:proofErr w:type="spellEnd"/>
      <w:r w:rsidRPr="00321D50">
        <w:rPr>
          <w:bCs/>
        </w:rPr>
        <w:t xml:space="preserve"> 16.313 </w:t>
      </w:r>
      <w:r w:rsidRPr="00321D50">
        <w:t>ton seviyesinde gerçekleştiği görülmektedir.</w:t>
      </w:r>
    </w:p>
    <w:p w14:paraId="611D425F" w14:textId="77777777" w:rsidR="00321D50" w:rsidRPr="00321D50" w:rsidRDefault="00321D50" w:rsidP="004B4889">
      <w:pPr>
        <w:numPr>
          <w:ilvl w:val="0"/>
          <w:numId w:val="26"/>
        </w:numPr>
        <w:autoSpaceDE w:val="0"/>
        <w:autoSpaceDN w:val="0"/>
        <w:adjustRightInd w:val="0"/>
        <w:spacing w:before="120" w:after="120"/>
        <w:ind w:firstLine="0"/>
        <w:jc w:val="both"/>
      </w:pPr>
      <w:r w:rsidRPr="00321D50">
        <w:t xml:space="preserve">Söz konusu ithalat değerleri sırasıyla </w:t>
      </w:r>
      <w:r w:rsidRPr="00321D50">
        <w:rPr>
          <w:bCs/>
        </w:rPr>
        <w:t xml:space="preserve">121,4 milyon ABD doları, 123,6 milyon ABD doları, 187,4 milyon ABD doları ve 170,9 milyon ABD doları </w:t>
      </w:r>
      <w:r w:rsidRPr="00321D50">
        <w:t>seviyelerinde gerçekleşmiştir.</w:t>
      </w:r>
    </w:p>
    <w:p w14:paraId="0F0BD44D" w14:textId="2B60ABA6" w:rsidR="00BD6F98" w:rsidRPr="00321D50" w:rsidRDefault="00321D50" w:rsidP="004B4889">
      <w:pPr>
        <w:numPr>
          <w:ilvl w:val="0"/>
          <w:numId w:val="26"/>
        </w:numPr>
        <w:autoSpaceDE w:val="0"/>
        <w:autoSpaceDN w:val="0"/>
        <w:adjustRightInd w:val="0"/>
        <w:spacing w:before="120" w:after="120"/>
        <w:ind w:firstLine="0"/>
        <w:jc w:val="both"/>
      </w:pPr>
      <w:r w:rsidRPr="00321D50">
        <w:t xml:space="preserve">Söz konusu ithalatın ortalama birim fiyatları, incelenen dönem itibarıyla sırasıyla </w:t>
      </w:r>
      <w:r w:rsidRPr="00321D50">
        <w:rPr>
          <w:bCs/>
        </w:rPr>
        <w:t>8.000 ABD doları/ton, 8.119 ABD doları/ton, 9.590 ABD doları/ton ve 10.477 ABD doları/ton</w:t>
      </w:r>
      <w:r w:rsidRPr="00321D50">
        <w:t xml:space="preserve"> </w:t>
      </w:r>
      <w:r>
        <w:t>olarak gerçekleşmiştir</w:t>
      </w:r>
      <w:r w:rsidR="00BD6F98" w:rsidRPr="00321D50">
        <w:rPr>
          <w:bCs/>
        </w:rPr>
        <w:t>.</w:t>
      </w:r>
    </w:p>
    <w:p w14:paraId="380CF3BC" w14:textId="77777777" w:rsidR="008F034C" w:rsidRPr="001161E3" w:rsidRDefault="008F034C" w:rsidP="004B4889">
      <w:pPr>
        <w:pStyle w:val="Default"/>
        <w:keepNext/>
        <w:keepLines/>
        <w:numPr>
          <w:ilvl w:val="0"/>
          <w:numId w:val="10"/>
        </w:numPr>
        <w:spacing w:before="120" w:after="120"/>
        <w:jc w:val="both"/>
        <w:outlineLvl w:val="1"/>
        <w:rPr>
          <w:rFonts w:eastAsiaTheme="majorEastAsia" w:cstheme="majorBidi"/>
          <w:b/>
          <w:vanish/>
        </w:rPr>
      </w:pPr>
      <w:bookmarkStart w:id="43" w:name="_Toc157613287"/>
      <w:bookmarkStart w:id="44" w:name="_Toc157613368"/>
      <w:bookmarkStart w:id="45" w:name="_Toc157613447"/>
      <w:bookmarkStart w:id="46" w:name="_Toc101881964"/>
      <w:bookmarkEnd w:id="42"/>
      <w:bookmarkEnd w:id="43"/>
      <w:bookmarkEnd w:id="44"/>
      <w:bookmarkEnd w:id="45"/>
    </w:p>
    <w:p w14:paraId="63EF542D" w14:textId="77777777" w:rsidR="008F034C" w:rsidRPr="001161E3" w:rsidRDefault="008F034C" w:rsidP="004B4889">
      <w:pPr>
        <w:pStyle w:val="ListeParagraf"/>
        <w:keepNext/>
        <w:keepLines/>
        <w:numPr>
          <w:ilvl w:val="0"/>
          <w:numId w:val="10"/>
        </w:numPr>
        <w:spacing w:before="120" w:after="120"/>
        <w:jc w:val="both"/>
        <w:outlineLvl w:val="1"/>
        <w:rPr>
          <w:rFonts w:eastAsiaTheme="majorEastAsia" w:cstheme="majorBidi"/>
          <w:b/>
          <w:vanish/>
        </w:rPr>
      </w:pPr>
      <w:bookmarkStart w:id="47" w:name="_Toc155356507"/>
      <w:bookmarkStart w:id="48" w:name="_Toc157601827"/>
      <w:bookmarkStart w:id="49" w:name="_Toc157601910"/>
      <w:bookmarkStart w:id="50" w:name="_Toc157602575"/>
      <w:bookmarkStart w:id="51" w:name="_Toc157613092"/>
      <w:bookmarkStart w:id="52" w:name="_Toc157613176"/>
      <w:bookmarkStart w:id="53" w:name="_Toc157613288"/>
      <w:bookmarkStart w:id="54" w:name="_Toc157613369"/>
      <w:bookmarkStart w:id="55" w:name="_Toc157613448"/>
      <w:bookmarkEnd w:id="47"/>
      <w:bookmarkEnd w:id="48"/>
      <w:bookmarkEnd w:id="49"/>
      <w:bookmarkEnd w:id="50"/>
      <w:bookmarkEnd w:id="51"/>
      <w:bookmarkEnd w:id="52"/>
      <w:bookmarkEnd w:id="53"/>
      <w:bookmarkEnd w:id="54"/>
      <w:bookmarkEnd w:id="55"/>
    </w:p>
    <w:p w14:paraId="6F7D3D3A" w14:textId="77777777" w:rsidR="008F034C" w:rsidRPr="001161E3" w:rsidRDefault="008F034C" w:rsidP="004B4889">
      <w:pPr>
        <w:pStyle w:val="ListeParagraf"/>
        <w:keepNext/>
        <w:keepLines/>
        <w:numPr>
          <w:ilvl w:val="0"/>
          <w:numId w:val="10"/>
        </w:numPr>
        <w:spacing w:before="120" w:after="120"/>
        <w:jc w:val="both"/>
        <w:outlineLvl w:val="1"/>
        <w:rPr>
          <w:rFonts w:eastAsiaTheme="majorEastAsia" w:cstheme="majorBidi"/>
          <w:b/>
          <w:vanish/>
        </w:rPr>
      </w:pPr>
      <w:bookmarkStart w:id="56" w:name="_Toc155356508"/>
      <w:bookmarkStart w:id="57" w:name="_Toc157601828"/>
      <w:bookmarkStart w:id="58" w:name="_Toc157601911"/>
      <w:bookmarkStart w:id="59" w:name="_Toc157602576"/>
      <w:bookmarkStart w:id="60" w:name="_Toc157613093"/>
      <w:bookmarkStart w:id="61" w:name="_Toc157613177"/>
      <w:bookmarkStart w:id="62" w:name="_Toc157613289"/>
      <w:bookmarkStart w:id="63" w:name="_Toc157613370"/>
      <w:bookmarkStart w:id="64" w:name="_Toc157613449"/>
      <w:bookmarkEnd w:id="56"/>
      <w:bookmarkEnd w:id="57"/>
      <w:bookmarkEnd w:id="58"/>
      <w:bookmarkEnd w:id="59"/>
      <w:bookmarkEnd w:id="60"/>
      <w:bookmarkEnd w:id="61"/>
      <w:bookmarkEnd w:id="62"/>
      <w:bookmarkEnd w:id="63"/>
      <w:bookmarkEnd w:id="64"/>
    </w:p>
    <w:p w14:paraId="32A2D614" w14:textId="77777777" w:rsidR="008F034C" w:rsidRPr="001161E3" w:rsidRDefault="008F034C" w:rsidP="004B4889">
      <w:pPr>
        <w:pStyle w:val="ListeParagraf"/>
        <w:keepNext/>
        <w:keepLines/>
        <w:numPr>
          <w:ilvl w:val="0"/>
          <w:numId w:val="10"/>
        </w:numPr>
        <w:spacing w:before="120" w:after="120"/>
        <w:jc w:val="both"/>
        <w:outlineLvl w:val="1"/>
        <w:rPr>
          <w:rFonts w:eastAsiaTheme="majorEastAsia" w:cstheme="majorBidi"/>
          <w:b/>
          <w:vanish/>
        </w:rPr>
      </w:pPr>
      <w:bookmarkStart w:id="65" w:name="_Toc155356509"/>
      <w:bookmarkStart w:id="66" w:name="_Toc157601829"/>
      <w:bookmarkStart w:id="67" w:name="_Toc157601912"/>
      <w:bookmarkStart w:id="68" w:name="_Toc157602577"/>
      <w:bookmarkStart w:id="69" w:name="_Toc157613094"/>
      <w:bookmarkStart w:id="70" w:name="_Toc157613178"/>
      <w:bookmarkStart w:id="71" w:name="_Toc157613290"/>
      <w:bookmarkStart w:id="72" w:name="_Toc157613371"/>
      <w:bookmarkStart w:id="73" w:name="_Toc157613450"/>
      <w:bookmarkEnd w:id="65"/>
      <w:bookmarkEnd w:id="66"/>
      <w:bookmarkEnd w:id="67"/>
      <w:bookmarkEnd w:id="68"/>
      <w:bookmarkEnd w:id="69"/>
      <w:bookmarkEnd w:id="70"/>
      <w:bookmarkEnd w:id="71"/>
      <w:bookmarkEnd w:id="72"/>
      <w:bookmarkEnd w:id="73"/>
    </w:p>
    <w:p w14:paraId="2BFB886C" w14:textId="77777777" w:rsidR="008F034C" w:rsidRPr="001161E3" w:rsidRDefault="008F034C" w:rsidP="004B4889">
      <w:pPr>
        <w:pStyle w:val="ListeParagraf"/>
        <w:keepNext/>
        <w:keepLines/>
        <w:numPr>
          <w:ilvl w:val="1"/>
          <w:numId w:val="10"/>
        </w:numPr>
        <w:spacing w:before="120" w:after="120"/>
        <w:jc w:val="both"/>
        <w:outlineLvl w:val="1"/>
        <w:rPr>
          <w:rFonts w:eastAsiaTheme="majorEastAsia" w:cstheme="majorBidi"/>
          <w:b/>
          <w:vanish/>
        </w:rPr>
      </w:pPr>
      <w:bookmarkStart w:id="74" w:name="_Toc155356510"/>
      <w:bookmarkStart w:id="75" w:name="_Toc157601830"/>
      <w:bookmarkStart w:id="76" w:name="_Toc157601913"/>
      <w:bookmarkStart w:id="77" w:name="_Toc157602578"/>
      <w:bookmarkStart w:id="78" w:name="_Toc157613095"/>
      <w:bookmarkStart w:id="79" w:name="_Toc157613179"/>
      <w:bookmarkStart w:id="80" w:name="_Toc157613291"/>
      <w:bookmarkStart w:id="81" w:name="_Toc157613372"/>
      <w:bookmarkStart w:id="82" w:name="_Toc157613451"/>
      <w:bookmarkEnd w:id="74"/>
      <w:bookmarkEnd w:id="75"/>
      <w:bookmarkEnd w:id="76"/>
      <w:bookmarkEnd w:id="77"/>
      <w:bookmarkEnd w:id="78"/>
      <w:bookmarkEnd w:id="79"/>
      <w:bookmarkEnd w:id="80"/>
      <w:bookmarkEnd w:id="81"/>
      <w:bookmarkEnd w:id="82"/>
    </w:p>
    <w:p w14:paraId="6BAD51D3" w14:textId="60D4899C" w:rsidR="008F034C" w:rsidRPr="001161E3" w:rsidRDefault="008F034C" w:rsidP="004B4889">
      <w:pPr>
        <w:pStyle w:val="Balk2"/>
        <w:numPr>
          <w:ilvl w:val="1"/>
          <w:numId w:val="10"/>
        </w:numPr>
        <w:spacing w:before="120" w:after="120"/>
        <w:ind w:left="0" w:firstLine="0"/>
        <w:jc w:val="both"/>
        <w:rPr>
          <w:szCs w:val="24"/>
        </w:rPr>
      </w:pPr>
      <w:bookmarkStart w:id="83" w:name="_Toc157613452"/>
      <w:r w:rsidRPr="001161E3">
        <w:rPr>
          <w:szCs w:val="24"/>
        </w:rPr>
        <w:t xml:space="preserve">Soruşturma </w:t>
      </w:r>
      <w:r w:rsidR="009864CB" w:rsidRPr="001161E3">
        <w:rPr>
          <w:szCs w:val="24"/>
        </w:rPr>
        <w:t>konusu ülkeden ithalatın mutlak gelişimi ve fiyatları</w:t>
      </w:r>
      <w:bookmarkEnd w:id="46"/>
      <w:bookmarkEnd w:id="83"/>
    </w:p>
    <w:p w14:paraId="5F9B372F" w14:textId="5C5ACE7F" w:rsidR="00321D50" w:rsidRPr="00321D50" w:rsidRDefault="00321D50" w:rsidP="004B4889">
      <w:pPr>
        <w:numPr>
          <w:ilvl w:val="0"/>
          <w:numId w:val="27"/>
        </w:numPr>
        <w:spacing w:before="120" w:after="120"/>
        <w:ind w:left="0" w:firstLine="0"/>
        <w:jc w:val="both"/>
        <w:rPr>
          <w:bCs/>
          <w:spacing w:val="-2"/>
        </w:rPr>
      </w:pPr>
      <w:r w:rsidRPr="00321D50">
        <w:rPr>
          <w:bCs/>
          <w:spacing w:val="-2"/>
        </w:rPr>
        <w:t xml:space="preserve">ÇHC menşeli soruşturma konusu ürün ithalatının </w:t>
      </w:r>
      <w:r w:rsidRPr="00321D50">
        <w:rPr>
          <w:bCs/>
        </w:rPr>
        <w:t xml:space="preserve">2020 yılında 2.541 ton, 2021 yılında 2.974 ton, 2022 yılında 4.112 ton, </w:t>
      </w:r>
      <w:proofErr w:type="spellStart"/>
      <w:r w:rsidRPr="00321D50">
        <w:rPr>
          <w:bCs/>
        </w:rPr>
        <w:t>SD’de</w:t>
      </w:r>
      <w:proofErr w:type="spellEnd"/>
      <w:r w:rsidRPr="00321D50">
        <w:rPr>
          <w:bCs/>
        </w:rPr>
        <w:t xml:space="preserve"> ise 3.050 ton </w:t>
      </w:r>
      <w:r w:rsidRPr="00321D50">
        <w:rPr>
          <w:bCs/>
          <w:spacing w:val="-2"/>
        </w:rPr>
        <w:t>seviyesinde gerçekleştiği görülmektedir.</w:t>
      </w:r>
    </w:p>
    <w:p w14:paraId="60A0F2B8" w14:textId="11262278" w:rsidR="00321D50" w:rsidRPr="00321D50" w:rsidRDefault="00321D50" w:rsidP="004B4889">
      <w:pPr>
        <w:numPr>
          <w:ilvl w:val="0"/>
          <w:numId w:val="27"/>
        </w:numPr>
        <w:spacing w:before="120" w:after="120"/>
        <w:ind w:left="0" w:firstLine="0"/>
        <w:jc w:val="both"/>
        <w:rPr>
          <w:bCs/>
          <w:lang w:eastAsia="en-US"/>
        </w:rPr>
      </w:pPr>
      <w:r w:rsidRPr="00321D50">
        <w:rPr>
          <w:bCs/>
          <w:lang w:eastAsia="en-US"/>
        </w:rPr>
        <w:t>Söz konusu ithalat değerleri sırasıyla 14,3 milyon ABD doları, 16,6 milyon ABD doları, 26,2 milyon ABD doları ve 21 milyon ABD doları seviyesinde gerçekleşmiştir.</w:t>
      </w:r>
    </w:p>
    <w:p w14:paraId="198C6539" w14:textId="77777777" w:rsidR="00321D50" w:rsidRPr="00321D50" w:rsidRDefault="00321D50" w:rsidP="004B4889">
      <w:pPr>
        <w:numPr>
          <w:ilvl w:val="0"/>
          <w:numId w:val="27"/>
        </w:numPr>
        <w:spacing w:before="120" w:after="120"/>
        <w:ind w:left="0" w:firstLine="0"/>
        <w:jc w:val="both"/>
        <w:rPr>
          <w:bCs/>
          <w:spacing w:val="-2"/>
        </w:rPr>
      </w:pPr>
      <w:r w:rsidRPr="00321D50">
        <w:rPr>
          <w:bCs/>
        </w:rPr>
        <w:lastRenderedPageBreak/>
        <w:t xml:space="preserve">Söz konusu ithalatın ortalama birim fiyatları, incelenen dönem itibarıyla sırasıyla 5.646 ABD doları/ton, 5.589 ABD doları/ton, 6.361 ABD doları/ton ve 6.875 ABD doları/ton olarak gerçekleşmiştir. </w:t>
      </w:r>
    </w:p>
    <w:p w14:paraId="1778A899" w14:textId="2CE58902" w:rsidR="00BC4061" w:rsidRPr="00321D50" w:rsidRDefault="00321D50" w:rsidP="004B4889">
      <w:pPr>
        <w:numPr>
          <w:ilvl w:val="0"/>
          <w:numId w:val="27"/>
        </w:numPr>
        <w:spacing w:before="120" w:after="120"/>
        <w:ind w:left="0" w:firstLine="0"/>
        <w:jc w:val="both"/>
        <w:rPr>
          <w:bCs/>
          <w:spacing w:val="-2"/>
        </w:rPr>
      </w:pPr>
      <w:r w:rsidRPr="00321D50">
        <w:rPr>
          <w:bCs/>
          <w:spacing w:val="-2"/>
        </w:rPr>
        <w:t xml:space="preserve">ÇHC menşeli ürün ithalatının toplam ithalat içindeki payı ise sırasıyla %17, %20, %21 ve %19 </w:t>
      </w:r>
      <w:r>
        <w:rPr>
          <w:bCs/>
          <w:spacing w:val="-2"/>
        </w:rPr>
        <w:t>olarak gerçekleşmiştir</w:t>
      </w:r>
      <w:r w:rsidR="00BC4061" w:rsidRPr="001161E3">
        <w:rPr>
          <w:lang w:eastAsia="en-US"/>
        </w:rPr>
        <w:t>.</w:t>
      </w:r>
    </w:p>
    <w:p w14:paraId="7D7A0546" w14:textId="5A62904B" w:rsidR="00AB2287" w:rsidRPr="001161E3" w:rsidRDefault="00AB2287" w:rsidP="004B4889">
      <w:pPr>
        <w:pStyle w:val="Balk2"/>
        <w:numPr>
          <w:ilvl w:val="1"/>
          <w:numId w:val="10"/>
        </w:numPr>
        <w:spacing w:before="120" w:after="120"/>
        <w:ind w:left="0" w:firstLine="0"/>
        <w:jc w:val="both"/>
        <w:rPr>
          <w:szCs w:val="24"/>
        </w:rPr>
      </w:pPr>
      <w:bookmarkStart w:id="84" w:name="_Toc101881965"/>
      <w:bookmarkStart w:id="85" w:name="_Toc157613453"/>
      <w:r w:rsidRPr="001161E3">
        <w:rPr>
          <w:szCs w:val="24"/>
        </w:rPr>
        <w:t xml:space="preserve">Diğer </w:t>
      </w:r>
      <w:r w:rsidR="009864CB" w:rsidRPr="001161E3">
        <w:rPr>
          <w:szCs w:val="24"/>
        </w:rPr>
        <w:t xml:space="preserve">ülkelerden gerçekleşen ithalatın mutlak gelişimi ve fiyatları </w:t>
      </w:r>
      <w:bookmarkEnd w:id="84"/>
      <w:bookmarkEnd w:id="85"/>
    </w:p>
    <w:p w14:paraId="32D50ACE" w14:textId="7340A32B" w:rsidR="00321D50" w:rsidRPr="00321D50" w:rsidRDefault="00321D50" w:rsidP="004B4889">
      <w:pPr>
        <w:pStyle w:val="ListeParagraf"/>
        <w:numPr>
          <w:ilvl w:val="0"/>
          <w:numId w:val="28"/>
        </w:numPr>
        <w:spacing w:before="120" w:after="120"/>
        <w:jc w:val="both"/>
        <w:rPr>
          <w:bCs/>
        </w:rPr>
      </w:pPr>
      <w:bookmarkStart w:id="86" w:name="_Hlk39942775"/>
      <w:r w:rsidRPr="00321D50">
        <w:rPr>
          <w:bCs/>
        </w:rPr>
        <w:t xml:space="preserve">Soruşturma konusu ürünün diğer ülkelerden ithalatının 2020 yılında 12.634 ton, 2021 yılında 12.244 ton, 2022 yılında 15.423 ton ve </w:t>
      </w:r>
      <w:proofErr w:type="spellStart"/>
      <w:r w:rsidRPr="00321D50">
        <w:rPr>
          <w:bCs/>
        </w:rPr>
        <w:t>SD’de</w:t>
      </w:r>
      <w:proofErr w:type="spellEnd"/>
      <w:r w:rsidRPr="00321D50">
        <w:rPr>
          <w:bCs/>
        </w:rPr>
        <w:t xml:space="preserve"> 13.263 ton </w:t>
      </w:r>
      <w:r w:rsidRPr="00321D50">
        <w:rPr>
          <w:bCs/>
          <w:spacing w:val="-2"/>
        </w:rPr>
        <w:t>olarak gerçekleştiği görülmektedir.</w:t>
      </w:r>
    </w:p>
    <w:p w14:paraId="320C4E9D" w14:textId="189C9F19" w:rsidR="00321D50" w:rsidRPr="00321D50" w:rsidRDefault="00321D50" w:rsidP="004B4889">
      <w:pPr>
        <w:numPr>
          <w:ilvl w:val="0"/>
          <w:numId w:val="28"/>
        </w:numPr>
        <w:spacing w:before="120" w:after="120"/>
        <w:jc w:val="both"/>
        <w:rPr>
          <w:bCs/>
          <w:lang w:eastAsia="en-US"/>
        </w:rPr>
      </w:pPr>
      <w:r w:rsidRPr="00321D50">
        <w:rPr>
          <w:bCs/>
          <w:lang w:eastAsia="en-US"/>
        </w:rPr>
        <w:t>Söz konusu ithalat değerleri sırasıyla 107,1 milyon ABD doları, 106,9</w:t>
      </w:r>
      <w:r w:rsidR="00522ABA">
        <w:rPr>
          <w:bCs/>
          <w:lang w:eastAsia="en-US"/>
        </w:rPr>
        <w:t xml:space="preserve"> </w:t>
      </w:r>
      <w:r w:rsidRPr="00321D50">
        <w:rPr>
          <w:bCs/>
          <w:lang w:eastAsia="en-US"/>
        </w:rPr>
        <w:t>milyon ABD doları, 161,2 milyon ABD doları ve 149,9 milyon ABD doları seviyesinde gerçekleşmiştir.</w:t>
      </w:r>
    </w:p>
    <w:bookmarkEnd w:id="86"/>
    <w:p w14:paraId="1D30A558" w14:textId="05A0E087" w:rsidR="00321D50" w:rsidRPr="00321D50" w:rsidRDefault="00321D50" w:rsidP="004B4889">
      <w:pPr>
        <w:numPr>
          <w:ilvl w:val="0"/>
          <w:numId w:val="28"/>
        </w:numPr>
        <w:spacing w:before="120" w:after="120"/>
        <w:jc w:val="both"/>
        <w:rPr>
          <w:bCs/>
          <w:lang w:eastAsia="en-US"/>
        </w:rPr>
      </w:pPr>
      <w:r w:rsidRPr="00321D50">
        <w:rPr>
          <w:bCs/>
          <w:lang w:eastAsia="en-US"/>
        </w:rPr>
        <w:t>Söz konusu ithalatın ortalama birim fiyatları, incelenen dönem itibarıyla sırasıyla 8</w:t>
      </w:r>
      <w:r w:rsidR="009864CB">
        <w:rPr>
          <w:bCs/>
          <w:lang w:eastAsia="en-US"/>
        </w:rPr>
        <w:t>.</w:t>
      </w:r>
      <w:r w:rsidRPr="00321D50">
        <w:rPr>
          <w:bCs/>
          <w:lang w:eastAsia="en-US"/>
        </w:rPr>
        <w:t>474 ABD doları/ton, 8</w:t>
      </w:r>
      <w:r w:rsidR="009864CB">
        <w:rPr>
          <w:bCs/>
          <w:lang w:eastAsia="en-US"/>
        </w:rPr>
        <w:t>.</w:t>
      </w:r>
      <w:r w:rsidRPr="00321D50">
        <w:rPr>
          <w:bCs/>
          <w:lang w:eastAsia="en-US"/>
        </w:rPr>
        <w:t>734 ABD doları/ton, 10</w:t>
      </w:r>
      <w:r w:rsidR="009864CB">
        <w:rPr>
          <w:bCs/>
          <w:lang w:eastAsia="en-US"/>
        </w:rPr>
        <w:t>.</w:t>
      </w:r>
      <w:r w:rsidRPr="00321D50">
        <w:rPr>
          <w:bCs/>
          <w:lang w:eastAsia="en-US"/>
        </w:rPr>
        <w:t>451 ABD doları/ton ve 11</w:t>
      </w:r>
      <w:r w:rsidR="009864CB">
        <w:rPr>
          <w:bCs/>
          <w:lang w:eastAsia="en-US"/>
        </w:rPr>
        <w:t>.</w:t>
      </w:r>
      <w:r w:rsidRPr="00321D50">
        <w:rPr>
          <w:bCs/>
          <w:lang w:eastAsia="en-US"/>
        </w:rPr>
        <w:t xml:space="preserve">305 ABD doları/ton olarak gerçekleşmiştir. </w:t>
      </w:r>
    </w:p>
    <w:p w14:paraId="08FCC8B1" w14:textId="47A703F2" w:rsidR="008711AA" w:rsidRPr="00321D50" w:rsidRDefault="00321D50" w:rsidP="004B4889">
      <w:pPr>
        <w:numPr>
          <w:ilvl w:val="0"/>
          <w:numId w:val="28"/>
        </w:numPr>
        <w:spacing w:before="120" w:after="120"/>
        <w:jc w:val="both"/>
        <w:rPr>
          <w:bCs/>
          <w:lang w:eastAsia="en-US"/>
        </w:rPr>
      </w:pPr>
      <w:r w:rsidRPr="00321D50">
        <w:rPr>
          <w:bCs/>
          <w:lang w:eastAsia="en-US"/>
        </w:rPr>
        <w:t>Söz konusu ithalatın toplam ithalat içindeki payı ise sırasıyla %83, %80, %79 ve %81 olarak gerçekleşmiştir.</w:t>
      </w:r>
    </w:p>
    <w:p w14:paraId="2AA4D8C8" w14:textId="77777777" w:rsidR="00E438AA" w:rsidRPr="001161E3" w:rsidRDefault="00E438AA" w:rsidP="004B4889">
      <w:pPr>
        <w:pStyle w:val="ListeParagraf"/>
        <w:keepNext/>
        <w:keepLines/>
        <w:numPr>
          <w:ilvl w:val="0"/>
          <w:numId w:val="5"/>
        </w:numPr>
        <w:spacing w:before="120" w:after="120"/>
        <w:outlineLvl w:val="1"/>
        <w:rPr>
          <w:rFonts w:eastAsiaTheme="majorEastAsia" w:cstheme="majorBidi"/>
          <w:b/>
          <w:vanish/>
        </w:rPr>
      </w:pPr>
      <w:bookmarkStart w:id="87" w:name="_Toc98149760"/>
    </w:p>
    <w:p w14:paraId="2B35C205" w14:textId="77777777" w:rsidR="00E438AA" w:rsidRPr="001161E3" w:rsidRDefault="00E438AA" w:rsidP="004B4889">
      <w:pPr>
        <w:pStyle w:val="ListeParagraf"/>
        <w:keepNext/>
        <w:keepLines/>
        <w:numPr>
          <w:ilvl w:val="0"/>
          <w:numId w:val="5"/>
        </w:numPr>
        <w:spacing w:before="120" w:after="120"/>
        <w:outlineLvl w:val="1"/>
        <w:rPr>
          <w:rFonts w:eastAsiaTheme="majorEastAsia" w:cstheme="majorBidi"/>
          <w:b/>
          <w:vanish/>
        </w:rPr>
      </w:pPr>
    </w:p>
    <w:p w14:paraId="4A50DE59" w14:textId="77777777" w:rsidR="00E438AA" w:rsidRPr="001161E3" w:rsidRDefault="00E438AA" w:rsidP="004B4889">
      <w:pPr>
        <w:pStyle w:val="ListeParagraf"/>
        <w:keepNext/>
        <w:keepLines/>
        <w:numPr>
          <w:ilvl w:val="0"/>
          <w:numId w:val="5"/>
        </w:numPr>
        <w:spacing w:before="120" w:after="120"/>
        <w:outlineLvl w:val="1"/>
        <w:rPr>
          <w:rFonts w:eastAsiaTheme="majorEastAsia" w:cstheme="majorBidi"/>
          <w:b/>
          <w:vanish/>
        </w:rPr>
      </w:pPr>
    </w:p>
    <w:p w14:paraId="0654A513" w14:textId="77777777" w:rsidR="00E438AA" w:rsidRPr="001161E3" w:rsidRDefault="00E438AA" w:rsidP="004B4889">
      <w:pPr>
        <w:pStyle w:val="ListeParagraf"/>
        <w:keepNext/>
        <w:keepLines/>
        <w:numPr>
          <w:ilvl w:val="0"/>
          <w:numId w:val="5"/>
        </w:numPr>
        <w:spacing w:before="120" w:after="120"/>
        <w:outlineLvl w:val="1"/>
        <w:rPr>
          <w:rFonts w:eastAsiaTheme="majorEastAsia" w:cstheme="majorBidi"/>
          <w:b/>
          <w:vanish/>
        </w:rPr>
      </w:pPr>
    </w:p>
    <w:p w14:paraId="4EE40E84" w14:textId="77777777" w:rsidR="00E438AA" w:rsidRPr="001161E3" w:rsidRDefault="00E438AA" w:rsidP="004B4889">
      <w:pPr>
        <w:pStyle w:val="ListeParagraf"/>
        <w:keepNext/>
        <w:keepLines/>
        <w:numPr>
          <w:ilvl w:val="1"/>
          <w:numId w:val="5"/>
        </w:numPr>
        <w:spacing w:before="120" w:after="120"/>
        <w:outlineLvl w:val="1"/>
        <w:rPr>
          <w:rFonts w:eastAsiaTheme="majorEastAsia" w:cstheme="majorBidi"/>
          <w:b/>
          <w:vanish/>
        </w:rPr>
      </w:pPr>
    </w:p>
    <w:p w14:paraId="0E25C5DF" w14:textId="77777777" w:rsidR="00E438AA" w:rsidRPr="001161E3" w:rsidRDefault="00E438AA" w:rsidP="004B4889">
      <w:pPr>
        <w:pStyle w:val="ListeParagraf"/>
        <w:keepNext/>
        <w:keepLines/>
        <w:numPr>
          <w:ilvl w:val="1"/>
          <w:numId w:val="5"/>
        </w:numPr>
        <w:spacing w:before="120" w:after="120"/>
        <w:outlineLvl w:val="1"/>
        <w:rPr>
          <w:rFonts w:eastAsiaTheme="majorEastAsia" w:cstheme="majorBidi"/>
          <w:b/>
          <w:vanish/>
        </w:rPr>
      </w:pPr>
    </w:p>
    <w:p w14:paraId="324EB7B5" w14:textId="77777777" w:rsidR="00E438AA" w:rsidRPr="001161E3" w:rsidRDefault="00E438AA" w:rsidP="004B4889">
      <w:pPr>
        <w:pStyle w:val="ListeParagraf"/>
        <w:keepNext/>
        <w:keepLines/>
        <w:numPr>
          <w:ilvl w:val="0"/>
          <w:numId w:val="6"/>
        </w:numPr>
        <w:spacing w:before="120" w:after="120"/>
        <w:outlineLvl w:val="1"/>
        <w:rPr>
          <w:rFonts w:eastAsiaTheme="majorEastAsia" w:cstheme="majorBidi"/>
          <w:b/>
          <w:vanish/>
        </w:rPr>
      </w:pPr>
      <w:bookmarkStart w:id="88" w:name="_Toc98149762"/>
      <w:bookmarkEnd w:id="87"/>
    </w:p>
    <w:p w14:paraId="0D42BFFF" w14:textId="77777777" w:rsidR="00E438AA" w:rsidRPr="001161E3" w:rsidRDefault="00E438AA" w:rsidP="004B4889">
      <w:pPr>
        <w:pStyle w:val="ListeParagraf"/>
        <w:keepNext/>
        <w:keepLines/>
        <w:numPr>
          <w:ilvl w:val="0"/>
          <w:numId w:val="6"/>
        </w:numPr>
        <w:spacing w:before="120" w:after="120"/>
        <w:outlineLvl w:val="1"/>
        <w:rPr>
          <w:rFonts w:eastAsiaTheme="majorEastAsia" w:cstheme="majorBidi"/>
          <w:b/>
          <w:vanish/>
        </w:rPr>
      </w:pPr>
    </w:p>
    <w:p w14:paraId="3FF8BDB4" w14:textId="77777777" w:rsidR="00E438AA" w:rsidRPr="001161E3" w:rsidRDefault="00E438AA" w:rsidP="004B4889">
      <w:pPr>
        <w:pStyle w:val="ListeParagraf"/>
        <w:keepNext/>
        <w:keepLines/>
        <w:numPr>
          <w:ilvl w:val="0"/>
          <w:numId w:val="6"/>
        </w:numPr>
        <w:spacing w:before="120" w:after="120"/>
        <w:outlineLvl w:val="1"/>
        <w:rPr>
          <w:rFonts w:eastAsiaTheme="majorEastAsia" w:cstheme="majorBidi"/>
          <w:b/>
          <w:vanish/>
        </w:rPr>
      </w:pPr>
    </w:p>
    <w:p w14:paraId="41C33FF8" w14:textId="77777777" w:rsidR="00E438AA" w:rsidRPr="001161E3" w:rsidRDefault="00E438AA" w:rsidP="004B4889">
      <w:pPr>
        <w:pStyle w:val="ListeParagraf"/>
        <w:keepNext/>
        <w:keepLines/>
        <w:numPr>
          <w:ilvl w:val="0"/>
          <w:numId w:val="6"/>
        </w:numPr>
        <w:spacing w:before="120" w:after="120"/>
        <w:outlineLvl w:val="1"/>
        <w:rPr>
          <w:rFonts w:eastAsiaTheme="majorEastAsia" w:cstheme="majorBidi"/>
          <w:b/>
          <w:vanish/>
        </w:rPr>
      </w:pPr>
    </w:p>
    <w:p w14:paraId="31AE6FB9" w14:textId="77777777" w:rsidR="00E438AA" w:rsidRPr="001161E3" w:rsidRDefault="00E438AA" w:rsidP="004B4889">
      <w:pPr>
        <w:pStyle w:val="ListeParagraf"/>
        <w:keepNext/>
        <w:keepLines/>
        <w:numPr>
          <w:ilvl w:val="1"/>
          <w:numId w:val="6"/>
        </w:numPr>
        <w:spacing w:before="120" w:after="120"/>
        <w:outlineLvl w:val="1"/>
        <w:rPr>
          <w:rFonts w:eastAsiaTheme="majorEastAsia" w:cstheme="majorBidi"/>
          <w:b/>
          <w:vanish/>
        </w:rPr>
      </w:pPr>
    </w:p>
    <w:p w14:paraId="15C0577D" w14:textId="77777777" w:rsidR="00E438AA" w:rsidRPr="001161E3" w:rsidRDefault="00E438AA" w:rsidP="004B4889">
      <w:pPr>
        <w:pStyle w:val="ListeParagraf"/>
        <w:keepNext/>
        <w:keepLines/>
        <w:numPr>
          <w:ilvl w:val="1"/>
          <w:numId w:val="6"/>
        </w:numPr>
        <w:spacing w:before="120" w:after="120"/>
        <w:outlineLvl w:val="1"/>
        <w:rPr>
          <w:rFonts w:eastAsiaTheme="majorEastAsia" w:cstheme="majorBidi"/>
          <w:b/>
          <w:vanish/>
        </w:rPr>
      </w:pPr>
    </w:p>
    <w:p w14:paraId="1DA5D5B5" w14:textId="77777777" w:rsidR="00E438AA" w:rsidRPr="001161E3" w:rsidRDefault="00E438AA" w:rsidP="004B4889">
      <w:pPr>
        <w:pStyle w:val="ListeParagraf"/>
        <w:keepNext/>
        <w:keepLines/>
        <w:numPr>
          <w:ilvl w:val="1"/>
          <w:numId w:val="6"/>
        </w:numPr>
        <w:spacing w:before="120" w:after="120"/>
        <w:outlineLvl w:val="1"/>
        <w:rPr>
          <w:rFonts w:eastAsiaTheme="majorEastAsia" w:cstheme="majorBidi"/>
          <w:b/>
          <w:vanish/>
        </w:rPr>
      </w:pPr>
    </w:p>
    <w:p w14:paraId="0511ED8E" w14:textId="77777777" w:rsidR="00E438AA" w:rsidRPr="001161E3" w:rsidRDefault="00E438AA" w:rsidP="004B4889">
      <w:pPr>
        <w:pStyle w:val="ListeParagraf"/>
        <w:keepNext/>
        <w:keepLines/>
        <w:numPr>
          <w:ilvl w:val="1"/>
          <w:numId w:val="6"/>
        </w:numPr>
        <w:spacing w:before="120" w:after="120"/>
        <w:outlineLvl w:val="1"/>
        <w:rPr>
          <w:rFonts w:eastAsiaTheme="majorEastAsia" w:cstheme="majorBidi"/>
          <w:b/>
          <w:vanish/>
        </w:rPr>
      </w:pPr>
    </w:p>
    <w:p w14:paraId="74A278F9" w14:textId="7175B584" w:rsidR="00F50C7E" w:rsidRPr="001161E3" w:rsidRDefault="00D677B8" w:rsidP="004B4889">
      <w:pPr>
        <w:pStyle w:val="Balk2"/>
        <w:numPr>
          <w:ilvl w:val="1"/>
          <w:numId w:val="6"/>
        </w:numPr>
        <w:spacing w:before="120" w:after="120"/>
        <w:ind w:left="426"/>
        <w:rPr>
          <w:szCs w:val="24"/>
        </w:rPr>
      </w:pPr>
      <w:r w:rsidRPr="001161E3">
        <w:rPr>
          <w:szCs w:val="24"/>
        </w:rPr>
        <w:t xml:space="preserve">İthalatın </w:t>
      </w:r>
      <w:r w:rsidR="009864CB" w:rsidRPr="001161E3">
        <w:rPr>
          <w:szCs w:val="24"/>
        </w:rPr>
        <w:t xml:space="preserve">nispi gelişimi </w:t>
      </w:r>
      <w:bookmarkEnd w:id="88"/>
    </w:p>
    <w:p w14:paraId="2F3637C4" w14:textId="77777777" w:rsidR="00321D50" w:rsidRPr="00321D50" w:rsidRDefault="00321D50" w:rsidP="004B4889">
      <w:pPr>
        <w:pStyle w:val="ListeParagraf"/>
        <w:numPr>
          <w:ilvl w:val="0"/>
          <w:numId w:val="29"/>
        </w:numPr>
        <w:tabs>
          <w:tab w:val="left" w:pos="360"/>
          <w:tab w:val="left" w:pos="720"/>
        </w:tabs>
        <w:spacing w:before="120" w:after="120"/>
        <w:jc w:val="both"/>
        <w:rPr>
          <w:color w:val="000000"/>
        </w:rPr>
      </w:pPr>
      <w:bookmarkStart w:id="89" w:name="_Toc143173566"/>
      <w:bookmarkStart w:id="90" w:name="_Toc98149764"/>
      <w:r w:rsidRPr="00321D50">
        <w:rPr>
          <w:color w:val="000000"/>
        </w:rPr>
        <w:t xml:space="preserve">Önlem konusu ithalatın nispi gelişimini görebilmek için soruşturma konusu ülkeden gerçekleştirilen ithalatın toplam Türkiye benzer mal tüketimi içindeki payı incelenmiştir. Bu bağlamda, öncelikle yerli üretim dalı ve diğer yerli üreticinin yurt içi satışları ile genel ithalat miktarı toplanarak ilgili yıllarda toplam Türkiye benzer mal tüketimi elde edilmiştir. Yerli üretim dalının yurt içi satışlarının ve soruşturma konusu ülkeden gerçekleştirilen ithalatın toplam tüketime oranlanmasıyla pazar payları hesaplanmıştır. İncelenen veriler 2020 yılı 100 birim olacak şekilde endekslenmiştir. </w:t>
      </w:r>
    </w:p>
    <w:p w14:paraId="4E061492" w14:textId="77777777" w:rsidR="00321D50" w:rsidRPr="00321D50" w:rsidRDefault="00321D50" w:rsidP="004B4889">
      <w:pPr>
        <w:pStyle w:val="ListeParagraf"/>
        <w:numPr>
          <w:ilvl w:val="0"/>
          <w:numId w:val="29"/>
        </w:numPr>
        <w:tabs>
          <w:tab w:val="left" w:pos="360"/>
          <w:tab w:val="left" w:pos="720"/>
        </w:tabs>
        <w:spacing w:before="120" w:after="120"/>
        <w:jc w:val="both"/>
        <w:rPr>
          <w:color w:val="000000"/>
        </w:rPr>
      </w:pPr>
      <w:r w:rsidRPr="00321D50">
        <w:rPr>
          <w:color w:val="000000"/>
        </w:rPr>
        <w:t>Bu çerçevede, yurt içi tüketim endeksi incelenen dönem itibarıyla sırasıyla 100 birim, 116 birim, 143 birim ve 128 birim olarak gerçekleşmiştir.</w:t>
      </w:r>
    </w:p>
    <w:p w14:paraId="5A5011FC" w14:textId="77777777" w:rsidR="00321D50" w:rsidRPr="00321D50" w:rsidRDefault="00321D50" w:rsidP="004B4889">
      <w:pPr>
        <w:pStyle w:val="ListeParagraf"/>
        <w:numPr>
          <w:ilvl w:val="0"/>
          <w:numId w:val="29"/>
        </w:numPr>
        <w:tabs>
          <w:tab w:val="left" w:pos="360"/>
          <w:tab w:val="left" w:pos="720"/>
        </w:tabs>
        <w:spacing w:before="120" w:after="120"/>
        <w:jc w:val="both"/>
        <w:rPr>
          <w:color w:val="000000"/>
        </w:rPr>
      </w:pPr>
      <w:r w:rsidRPr="00321D50">
        <w:rPr>
          <w:color w:val="000000"/>
        </w:rPr>
        <w:lastRenderedPageBreak/>
        <w:t xml:space="preserve">ÇHC menşeli ithalatın 2020 yılında 100 birim olan pazar payı endeksi 2021 yılında 101 birim, 2022’de 113 birim ve </w:t>
      </w:r>
      <w:proofErr w:type="spellStart"/>
      <w:r w:rsidRPr="00321D50">
        <w:rPr>
          <w:color w:val="000000"/>
        </w:rPr>
        <w:t>SD’de</w:t>
      </w:r>
      <w:proofErr w:type="spellEnd"/>
      <w:r w:rsidRPr="00321D50">
        <w:rPr>
          <w:color w:val="000000"/>
        </w:rPr>
        <w:t xml:space="preserve"> 94 birim olarak gerçekleşmiştir.</w:t>
      </w:r>
    </w:p>
    <w:p w14:paraId="4CCECE6E" w14:textId="77777777" w:rsidR="00321D50" w:rsidRPr="00321D50" w:rsidRDefault="00321D50" w:rsidP="004B4889">
      <w:pPr>
        <w:pStyle w:val="ListeParagraf"/>
        <w:numPr>
          <w:ilvl w:val="0"/>
          <w:numId w:val="29"/>
        </w:numPr>
        <w:tabs>
          <w:tab w:val="left" w:pos="360"/>
          <w:tab w:val="left" w:pos="720"/>
        </w:tabs>
        <w:spacing w:before="120" w:after="120"/>
        <w:jc w:val="both"/>
        <w:rPr>
          <w:color w:val="000000"/>
        </w:rPr>
      </w:pPr>
      <w:r w:rsidRPr="00321D50">
        <w:rPr>
          <w:color w:val="000000"/>
        </w:rPr>
        <w:t xml:space="preserve">Diğer ülkeler menşeli ithalatın 2020 yılında 100 birim olan pazar payı endeksi 2021 yılında 83 birim, 2022 yılında 85 birim ve </w:t>
      </w:r>
      <w:proofErr w:type="spellStart"/>
      <w:r w:rsidRPr="00321D50">
        <w:rPr>
          <w:color w:val="000000"/>
        </w:rPr>
        <w:t>SD’de</w:t>
      </w:r>
      <w:proofErr w:type="spellEnd"/>
      <w:r w:rsidRPr="00321D50">
        <w:rPr>
          <w:color w:val="000000"/>
        </w:rPr>
        <w:t xml:space="preserve"> ise 82 birim olarak gerçekleşmiştir.</w:t>
      </w:r>
    </w:p>
    <w:p w14:paraId="34D242A7" w14:textId="77777777" w:rsidR="00321D50" w:rsidRPr="00321D50" w:rsidRDefault="00321D50" w:rsidP="004B4889">
      <w:pPr>
        <w:pStyle w:val="ListeParagraf"/>
        <w:numPr>
          <w:ilvl w:val="0"/>
          <w:numId w:val="29"/>
        </w:numPr>
        <w:tabs>
          <w:tab w:val="left" w:pos="360"/>
          <w:tab w:val="left" w:pos="720"/>
        </w:tabs>
        <w:spacing w:before="120" w:after="120"/>
        <w:jc w:val="both"/>
        <w:rPr>
          <w:color w:val="000000"/>
        </w:rPr>
      </w:pPr>
      <w:r w:rsidRPr="00321D50">
        <w:rPr>
          <w:color w:val="000000"/>
        </w:rPr>
        <w:t xml:space="preserve">Yerli üretim dalının 2020 yılında 100 birim olan pazar payı endeksi 2021 yılında 114 birim, 2022 yılında 100 birim ve </w:t>
      </w:r>
      <w:proofErr w:type="spellStart"/>
      <w:r w:rsidRPr="00321D50">
        <w:rPr>
          <w:color w:val="000000"/>
        </w:rPr>
        <w:t>SD’de</w:t>
      </w:r>
      <w:proofErr w:type="spellEnd"/>
      <w:r w:rsidRPr="00321D50">
        <w:rPr>
          <w:color w:val="000000"/>
        </w:rPr>
        <w:t xml:space="preserve"> 115 birim olarak gerçekleşmiştir.</w:t>
      </w:r>
    </w:p>
    <w:p w14:paraId="34625F1E" w14:textId="0153E1B4" w:rsidR="002129E3" w:rsidRPr="007472A6" w:rsidRDefault="00321D50" w:rsidP="004B4889">
      <w:pPr>
        <w:pStyle w:val="ListeParagraf"/>
        <w:numPr>
          <w:ilvl w:val="0"/>
          <w:numId w:val="29"/>
        </w:numPr>
        <w:tabs>
          <w:tab w:val="left" w:pos="360"/>
          <w:tab w:val="left" w:pos="720"/>
        </w:tabs>
        <w:spacing w:before="120" w:after="120"/>
        <w:jc w:val="both"/>
      </w:pPr>
      <w:r w:rsidRPr="00321D50">
        <w:rPr>
          <w:color w:val="000000"/>
        </w:rPr>
        <w:t xml:space="preserve">Diğer yerli üreticilerin 2020 yılında 100 birim olan pazar payı endeksi 2021 yılında 117 birim, 2022 yılında ve </w:t>
      </w:r>
      <w:proofErr w:type="spellStart"/>
      <w:r w:rsidRPr="00321D50">
        <w:rPr>
          <w:color w:val="000000"/>
        </w:rPr>
        <w:t>SD’de</w:t>
      </w:r>
      <w:proofErr w:type="spellEnd"/>
      <w:r w:rsidRPr="00321D50">
        <w:rPr>
          <w:color w:val="000000"/>
        </w:rPr>
        <w:t xml:space="preserve"> 120 birim olarak gerçekleşmiştir</w:t>
      </w:r>
      <w:r w:rsidR="002129E3" w:rsidRPr="000A5431">
        <w:t>.</w:t>
      </w:r>
    </w:p>
    <w:bookmarkEnd w:id="89"/>
    <w:p w14:paraId="7B5460AF" w14:textId="3A7D057B" w:rsidR="00542734" w:rsidRPr="0055784D" w:rsidRDefault="00964ECE" w:rsidP="004B4889">
      <w:pPr>
        <w:pStyle w:val="Balk2"/>
        <w:numPr>
          <w:ilvl w:val="1"/>
          <w:numId w:val="6"/>
        </w:numPr>
        <w:spacing w:before="120" w:after="120"/>
        <w:ind w:left="0" w:firstLine="0"/>
        <w:rPr>
          <w:rFonts w:eastAsia="Times New Roman" w:cs="Times New Roman"/>
          <w:szCs w:val="24"/>
        </w:rPr>
      </w:pPr>
      <w:r>
        <w:rPr>
          <w:rFonts w:eastAsia="Times New Roman" w:cs="Times New Roman"/>
          <w:szCs w:val="24"/>
        </w:rPr>
        <w:t>Soruşturma konusu ithalatın iç piyasa fiyatları üzerindeki etkisi</w:t>
      </w:r>
    </w:p>
    <w:p w14:paraId="6F0E0192" w14:textId="6F339DE9" w:rsidR="00542734" w:rsidRPr="0055784D" w:rsidRDefault="00542734" w:rsidP="004B4889">
      <w:pPr>
        <w:pStyle w:val="Balk2"/>
        <w:numPr>
          <w:ilvl w:val="2"/>
          <w:numId w:val="6"/>
        </w:numPr>
        <w:spacing w:before="120" w:after="120"/>
        <w:ind w:left="-142" w:firstLine="142"/>
        <w:rPr>
          <w:szCs w:val="24"/>
        </w:rPr>
      </w:pPr>
      <w:bookmarkStart w:id="91" w:name="_Toc157613464"/>
      <w:r w:rsidRPr="0055784D">
        <w:rPr>
          <w:szCs w:val="24"/>
        </w:rPr>
        <w:t xml:space="preserve">Fiyat </w:t>
      </w:r>
      <w:r w:rsidR="00007363" w:rsidRPr="0055784D">
        <w:rPr>
          <w:szCs w:val="24"/>
        </w:rPr>
        <w:t>kırılması</w:t>
      </w:r>
      <w:bookmarkEnd w:id="91"/>
    </w:p>
    <w:p w14:paraId="4E9AE2FC" w14:textId="77777777" w:rsidR="00321D50" w:rsidRPr="007C588C" w:rsidRDefault="00321D50" w:rsidP="004B4889">
      <w:pPr>
        <w:pStyle w:val="ListeParagraf"/>
        <w:numPr>
          <w:ilvl w:val="0"/>
          <w:numId w:val="30"/>
        </w:numPr>
        <w:tabs>
          <w:tab w:val="left" w:pos="360"/>
          <w:tab w:val="left" w:pos="851"/>
        </w:tabs>
        <w:spacing w:before="120" w:after="120"/>
        <w:jc w:val="both"/>
      </w:pPr>
      <w:r w:rsidRPr="007C588C">
        <w:t xml:space="preserve">Yönetmeliğin </w:t>
      </w:r>
      <w:proofErr w:type="gramStart"/>
      <w:r w:rsidRPr="007C588C">
        <w:t xml:space="preserve">17 </w:t>
      </w:r>
      <w:proofErr w:type="spellStart"/>
      <w:r w:rsidRPr="007C588C">
        <w:t>nci</w:t>
      </w:r>
      <w:proofErr w:type="spellEnd"/>
      <w:proofErr w:type="gramEnd"/>
      <w:r w:rsidRPr="007C588C">
        <w:t xml:space="preserve"> maddesinin ilgili hükümleri çerçevesinde, dampingli olduğu iddia edilen ithalatın yerli üretim dalının satış fiyatları üzerindeki etkisi değerlendirilirken soruşturma konusu ülkeden gerçekleştirilen ithalatın yerli üretim dalının fiyatlarını kırıp kırmadığı incelenmiştir. Fiyat kırılması, ithal ürünün ağırlıklı ortalama pazara giriş fiyatının Türkiye piyasasında yerli üretim dalının ağırlıklı ortalama yurt içi birim satış fiyatının yüzde olarak ne kadar altında kaldığını göstermekte olup CIF bedelin yüzdesi olarak hesaplanmaktadır. </w:t>
      </w:r>
    </w:p>
    <w:p w14:paraId="2702CDCB" w14:textId="0B1856A2" w:rsidR="00321D50" w:rsidRPr="007C588C" w:rsidRDefault="00321D50" w:rsidP="004B4889">
      <w:pPr>
        <w:pStyle w:val="ListeParagraf"/>
        <w:numPr>
          <w:ilvl w:val="0"/>
          <w:numId w:val="30"/>
        </w:numPr>
        <w:tabs>
          <w:tab w:val="left" w:pos="360"/>
          <w:tab w:val="left" w:pos="851"/>
        </w:tabs>
        <w:spacing w:before="120" w:after="120"/>
        <w:jc w:val="both"/>
      </w:pPr>
      <w:r w:rsidRPr="007C588C">
        <w:t xml:space="preserve">Fiyat kırılması hesaplanırken, ağırlıklı ortalama CIF ithal birim fiyatının üzerine soruşturma konusu ülkeye yönelik uygulanan gümrük vergisi (%8) ve </w:t>
      </w:r>
      <w:r w:rsidRPr="007C588C">
        <w:rPr>
          <w:lang w:eastAsia="tr-TR"/>
        </w:rPr>
        <w:t>2020 yılı için uygulanan %25 İGV, 2021, 2022 ve SD dönemleri için uygulanan %20 İGV</w:t>
      </w:r>
      <w:r w:rsidRPr="007C588C">
        <w:t xml:space="preserve"> ile CIF kıymetin %1’i tutarındaki diğer ithalat masrafları eklenerek ürünün Türkiye piyasasına giriş fiyatı bulunmuştur. Bulunan değer ile yerli üretim dalının ağırlıklı ortalama yurt içi satış fiyatı karşılaştırılmıştır. </w:t>
      </w:r>
    </w:p>
    <w:p w14:paraId="319D9BF8" w14:textId="77777777" w:rsidR="00321D50" w:rsidRPr="007C588C" w:rsidRDefault="00321D50" w:rsidP="004B4889">
      <w:pPr>
        <w:pStyle w:val="ListeParagraf"/>
        <w:numPr>
          <w:ilvl w:val="0"/>
          <w:numId w:val="30"/>
        </w:numPr>
        <w:tabs>
          <w:tab w:val="left" w:pos="360"/>
          <w:tab w:val="left" w:pos="851"/>
        </w:tabs>
        <w:spacing w:before="120" w:after="120"/>
        <w:jc w:val="both"/>
      </w:pPr>
      <w:r w:rsidRPr="007C588C">
        <w:t xml:space="preserve">Dampinge karşı önlemin söz konusu olmadığı bir ortamda fiyatların hangi düzeyde oluşacağına ilişkin değerlendirmeyi mümkün kılmak amacıyla, anılan fiyatlara dampinge karşı önlem eklenmemiştir. </w:t>
      </w:r>
    </w:p>
    <w:p w14:paraId="290C43F1" w14:textId="2195F193" w:rsidR="00AE21D1" w:rsidRPr="0055784D" w:rsidRDefault="00321D50" w:rsidP="004B4889">
      <w:pPr>
        <w:pStyle w:val="ListeParagraf"/>
        <w:numPr>
          <w:ilvl w:val="0"/>
          <w:numId w:val="30"/>
        </w:numPr>
        <w:tabs>
          <w:tab w:val="left" w:pos="360"/>
          <w:tab w:val="left" w:pos="851"/>
        </w:tabs>
        <w:spacing w:before="120" w:after="120"/>
        <w:jc w:val="both"/>
      </w:pPr>
      <w:r w:rsidRPr="007C588C">
        <w:t xml:space="preserve">Bu kapsamda, ÇHC menşeli ithalatın yerli üreticinin fiyatlarını </w:t>
      </w:r>
      <w:r w:rsidRPr="007F534B">
        <w:t>2020 yılında CIF bedelin %30</w:t>
      </w:r>
      <w:r w:rsidR="00007363">
        <w:t>&lt;X&lt;%</w:t>
      </w:r>
      <w:r w:rsidRPr="007F534B">
        <w:t xml:space="preserve">40’ı aralığında, 2021 ve 2022 yıllarında CIF bedelin </w:t>
      </w:r>
      <w:r w:rsidRPr="007F534B">
        <w:rPr>
          <w:bCs/>
          <w:spacing w:val="-2"/>
        </w:rPr>
        <w:t>%40</w:t>
      </w:r>
      <w:r w:rsidR="00007363">
        <w:rPr>
          <w:bCs/>
          <w:spacing w:val="-2"/>
        </w:rPr>
        <w:t>&lt;X&lt;</w:t>
      </w:r>
      <w:r w:rsidRPr="007F534B">
        <w:rPr>
          <w:bCs/>
          <w:spacing w:val="-2"/>
        </w:rPr>
        <w:t xml:space="preserve">%50’si aralığında ve </w:t>
      </w:r>
      <w:proofErr w:type="spellStart"/>
      <w:r w:rsidRPr="007F534B">
        <w:rPr>
          <w:bCs/>
          <w:spacing w:val="-2"/>
        </w:rPr>
        <w:t>SD’de</w:t>
      </w:r>
      <w:proofErr w:type="spellEnd"/>
      <w:r w:rsidRPr="007F534B">
        <w:rPr>
          <w:bCs/>
          <w:spacing w:val="-2"/>
        </w:rPr>
        <w:t xml:space="preserve"> </w:t>
      </w:r>
      <w:r>
        <w:t>CIF bedelin %20</w:t>
      </w:r>
      <w:r w:rsidR="00007363">
        <w:t>&lt;X&lt;</w:t>
      </w:r>
      <w:r>
        <w:t>30’u</w:t>
      </w:r>
      <w:r w:rsidRPr="007F534B">
        <w:t xml:space="preserve"> aralığında</w:t>
      </w:r>
      <w:r w:rsidRPr="007F534B">
        <w:rPr>
          <w:bCs/>
          <w:spacing w:val="-2"/>
        </w:rPr>
        <w:t xml:space="preserve"> bir oranda</w:t>
      </w:r>
      <w:r w:rsidRPr="007C588C">
        <w:rPr>
          <w:bCs/>
          <w:spacing w:val="-2"/>
        </w:rPr>
        <w:t xml:space="preserve"> </w:t>
      </w:r>
      <w:r w:rsidRPr="007C588C">
        <w:t>kırdığı tespit edilmiştir.</w:t>
      </w:r>
    </w:p>
    <w:p w14:paraId="3EE59B79" w14:textId="7CC63152" w:rsidR="00542734" w:rsidRPr="0055784D" w:rsidRDefault="00542734" w:rsidP="004B4889">
      <w:pPr>
        <w:pStyle w:val="Balk2"/>
        <w:numPr>
          <w:ilvl w:val="2"/>
          <w:numId w:val="6"/>
        </w:numPr>
        <w:spacing w:before="120" w:after="120"/>
        <w:ind w:left="-142" w:firstLine="142"/>
        <w:rPr>
          <w:szCs w:val="24"/>
        </w:rPr>
      </w:pPr>
      <w:bookmarkStart w:id="92" w:name="_Toc157613465"/>
      <w:r w:rsidRPr="0055784D">
        <w:rPr>
          <w:szCs w:val="24"/>
        </w:rPr>
        <w:t xml:space="preserve">Fiyat </w:t>
      </w:r>
      <w:r w:rsidR="00D314F8">
        <w:rPr>
          <w:szCs w:val="24"/>
        </w:rPr>
        <w:t>b</w:t>
      </w:r>
      <w:r w:rsidRPr="0055784D">
        <w:rPr>
          <w:szCs w:val="24"/>
        </w:rPr>
        <w:t>askısı</w:t>
      </w:r>
      <w:bookmarkEnd w:id="92"/>
    </w:p>
    <w:p w14:paraId="04515060" w14:textId="6FA200E1" w:rsidR="001065DA" w:rsidRPr="007C588C" w:rsidRDefault="001065DA" w:rsidP="004B4889">
      <w:pPr>
        <w:pStyle w:val="ListeParagraf"/>
        <w:numPr>
          <w:ilvl w:val="0"/>
          <w:numId w:val="31"/>
        </w:numPr>
        <w:tabs>
          <w:tab w:val="left" w:pos="360"/>
          <w:tab w:val="left" w:pos="851"/>
        </w:tabs>
        <w:spacing w:before="120" w:after="120"/>
        <w:jc w:val="both"/>
      </w:pPr>
      <w:bookmarkStart w:id="93" w:name="_Toc155356527"/>
      <w:bookmarkStart w:id="94" w:name="_Hlk155970437"/>
      <w:r w:rsidRPr="007C588C">
        <w:t xml:space="preserve">Yönetmeliğin </w:t>
      </w:r>
      <w:proofErr w:type="gramStart"/>
      <w:r w:rsidRPr="007C588C">
        <w:t xml:space="preserve">17 </w:t>
      </w:r>
      <w:proofErr w:type="spellStart"/>
      <w:r w:rsidRPr="007C588C">
        <w:t>nci</w:t>
      </w:r>
      <w:proofErr w:type="spellEnd"/>
      <w:proofErr w:type="gramEnd"/>
      <w:r w:rsidRPr="007C588C">
        <w:t xml:space="preserve"> maddesinin ilgili hükümleri çerçevesinde, dampingli olduğu iddia edilen ithalatın yerli üretim dalının satış fiyatları üzerindeki etkisi değerlendirilirken soruşturma konusu ülkeden gerçekleştirilen ithalatın yerli üretim dalının fiyatlarına baskı yapıp yapmadığı incelenmiştir. Fiyat baskısı, yerli üretim dalının fiyatlarının dampingli olduğu öne sürülen ithalat sebebiyle baskı altında bulunması ve yerli üreticinin fiyatlarını makul kâr elde edecek şekilde belirleyememesi durumunu ifade etmektedir. Bu kapsamda, soruşturma konusu ürünün gümrük vergisi, İGV ve gümrükleme masrafları dahil Türkiye pazarına ağırlıklı ortalama giriş fiyatı ile yerli üretim dalının ağırlıklı ortalama ticari maliyetine makul bir kâr oranı (%</w:t>
      </w:r>
      <w:r>
        <w:t>X</w:t>
      </w:r>
      <w:r w:rsidRPr="007C588C">
        <w:t xml:space="preserve">) eklenerek bulunan olması gereken yurt içi birim satış fiyatı karşılaştırılmıştır.  </w:t>
      </w:r>
    </w:p>
    <w:p w14:paraId="3E852F31" w14:textId="73C7130A" w:rsidR="001065DA" w:rsidRPr="007C588C" w:rsidRDefault="001065DA" w:rsidP="004B4889">
      <w:pPr>
        <w:pStyle w:val="ListeParagraf"/>
        <w:numPr>
          <w:ilvl w:val="0"/>
          <w:numId w:val="31"/>
        </w:numPr>
        <w:tabs>
          <w:tab w:val="left" w:pos="360"/>
          <w:tab w:val="left" w:pos="851"/>
        </w:tabs>
        <w:spacing w:before="120" w:after="120"/>
        <w:jc w:val="both"/>
      </w:pPr>
      <w:r w:rsidRPr="007C588C">
        <w:t>Dampinge karşı önlemlerin söz konusu olmadığı bir ortamda fiyatların hangi düzeyde oluşacağına ilişkin değerlendirmeyi mümkün kılmak amacıyla, anılan fiyatlara dampinge karşı önlem</w:t>
      </w:r>
      <w:r w:rsidR="00964ECE">
        <w:t xml:space="preserve"> </w:t>
      </w:r>
      <w:r w:rsidRPr="007C588C">
        <w:t xml:space="preserve">eklenmemiştir. </w:t>
      </w:r>
    </w:p>
    <w:p w14:paraId="0944B0FA" w14:textId="520EFF2A" w:rsidR="00542734" w:rsidRPr="0055784D" w:rsidRDefault="001065DA" w:rsidP="004B4889">
      <w:pPr>
        <w:pStyle w:val="Default"/>
        <w:numPr>
          <w:ilvl w:val="0"/>
          <w:numId w:val="32"/>
        </w:numPr>
        <w:spacing w:before="120" w:after="120"/>
        <w:jc w:val="both"/>
        <w:rPr>
          <w:b/>
          <w:bCs/>
        </w:rPr>
      </w:pPr>
      <w:r w:rsidRPr="007C588C">
        <w:t xml:space="preserve">Bu kapsamda, ÇHC menşeli ithalatın yerli üreticinin fiyatlarını </w:t>
      </w:r>
      <w:r w:rsidRPr="007F534B">
        <w:t xml:space="preserve">2020 yılında CIF bedelin </w:t>
      </w:r>
      <w:r>
        <w:rPr>
          <w:bCs/>
          <w:spacing w:val="-2"/>
        </w:rPr>
        <w:t>%10</w:t>
      </w:r>
      <w:r w:rsidR="00D26D02">
        <w:rPr>
          <w:bCs/>
          <w:spacing w:val="-2"/>
        </w:rPr>
        <w:t>&lt;X&lt;</w:t>
      </w:r>
      <w:r>
        <w:rPr>
          <w:bCs/>
          <w:spacing w:val="-2"/>
        </w:rPr>
        <w:t>%2</w:t>
      </w:r>
      <w:r w:rsidRPr="007F534B">
        <w:rPr>
          <w:bCs/>
          <w:spacing w:val="-2"/>
        </w:rPr>
        <w:t>0’</w:t>
      </w:r>
      <w:r>
        <w:rPr>
          <w:bCs/>
          <w:spacing w:val="-2"/>
        </w:rPr>
        <w:t>si</w:t>
      </w:r>
      <w:r w:rsidRPr="007F534B">
        <w:rPr>
          <w:bCs/>
          <w:spacing w:val="-2"/>
        </w:rPr>
        <w:t xml:space="preserve"> aralığında, 2021 yılında </w:t>
      </w:r>
      <w:r w:rsidRPr="007F534B">
        <w:t xml:space="preserve">CIF bedelin </w:t>
      </w:r>
      <w:r w:rsidRPr="007F534B">
        <w:rPr>
          <w:bCs/>
          <w:spacing w:val="-2"/>
        </w:rPr>
        <w:t>%30</w:t>
      </w:r>
      <w:r w:rsidR="00D26D02">
        <w:rPr>
          <w:bCs/>
          <w:spacing w:val="-2"/>
        </w:rPr>
        <w:t>&lt;X&lt;</w:t>
      </w:r>
      <w:r w:rsidRPr="007F534B">
        <w:rPr>
          <w:bCs/>
          <w:spacing w:val="-2"/>
        </w:rPr>
        <w:t xml:space="preserve">%40’ı aralığında, 2022 yılında </w:t>
      </w:r>
      <w:r w:rsidRPr="007F534B">
        <w:t xml:space="preserve">CIF bedelin </w:t>
      </w:r>
      <w:r w:rsidRPr="007F534B">
        <w:rPr>
          <w:bCs/>
          <w:spacing w:val="-2"/>
        </w:rPr>
        <w:t>%20</w:t>
      </w:r>
      <w:r w:rsidR="00D26D02">
        <w:rPr>
          <w:bCs/>
          <w:spacing w:val="-2"/>
        </w:rPr>
        <w:t>&lt;X&lt;</w:t>
      </w:r>
      <w:r w:rsidRPr="007F534B">
        <w:rPr>
          <w:bCs/>
          <w:spacing w:val="-2"/>
        </w:rPr>
        <w:t>%30’u aralığında ve</w:t>
      </w:r>
      <w:r w:rsidRPr="007F534B">
        <w:t xml:space="preserve"> </w:t>
      </w:r>
      <w:proofErr w:type="spellStart"/>
      <w:r w:rsidRPr="007F534B">
        <w:t>SD’de</w:t>
      </w:r>
      <w:proofErr w:type="spellEnd"/>
      <w:r w:rsidRPr="007F534B">
        <w:t xml:space="preserve"> ise CIF bedelin </w:t>
      </w:r>
      <w:r w:rsidRPr="007F534B">
        <w:rPr>
          <w:bCs/>
          <w:spacing w:val="-2"/>
        </w:rPr>
        <w:t>%30</w:t>
      </w:r>
      <w:r w:rsidR="00D26D02">
        <w:rPr>
          <w:bCs/>
          <w:spacing w:val="-2"/>
        </w:rPr>
        <w:t>&lt;X&lt;</w:t>
      </w:r>
      <w:r w:rsidRPr="007F534B">
        <w:rPr>
          <w:bCs/>
          <w:spacing w:val="-2"/>
        </w:rPr>
        <w:t>%40’ı aralığında</w:t>
      </w:r>
      <w:r w:rsidRPr="007F534B">
        <w:t xml:space="preserve"> bir oranda</w:t>
      </w:r>
      <w:r w:rsidRPr="007C588C">
        <w:t xml:space="preserve"> baskıladığı tespit edilmiştir</w:t>
      </w:r>
      <w:r w:rsidR="00542734" w:rsidRPr="0055784D">
        <w:t>.</w:t>
      </w:r>
      <w:bookmarkEnd w:id="93"/>
      <w:r w:rsidR="00542734" w:rsidRPr="0055784D">
        <w:t xml:space="preserve"> </w:t>
      </w:r>
    </w:p>
    <w:bookmarkEnd w:id="94"/>
    <w:p w14:paraId="40C5ABDD" w14:textId="645790C8" w:rsidR="00C95747" w:rsidRPr="0055784D" w:rsidRDefault="001F6947" w:rsidP="001161E3">
      <w:pPr>
        <w:pStyle w:val="Balk2"/>
        <w:spacing w:before="120" w:after="120"/>
        <w:rPr>
          <w:szCs w:val="24"/>
        </w:rPr>
      </w:pPr>
      <w:r w:rsidRPr="0055784D">
        <w:rPr>
          <w:szCs w:val="24"/>
        </w:rPr>
        <w:lastRenderedPageBreak/>
        <w:t>4.7</w:t>
      </w:r>
      <w:r w:rsidR="00964ECE">
        <w:rPr>
          <w:szCs w:val="24"/>
        </w:rPr>
        <w:t>.</w:t>
      </w:r>
      <w:r w:rsidRPr="0055784D">
        <w:rPr>
          <w:szCs w:val="24"/>
        </w:rPr>
        <w:t xml:space="preserve"> </w:t>
      </w:r>
      <w:r w:rsidR="00C95747" w:rsidRPr="0055784D">
        <w:rPr>
          <w:szCs w:val="24"/>
        </w:rPr>
        <w:t xml:space="preserve">Yerli </w:t>
      </w:r>
      <w:r w:rsidR="00964ECE" w:rsidRPr="0055784D">
        <w:rPr>
          <w:szCs w:val="24"/>
        </w:rPr>
        <w:t xml:space="preserve">üretim dalının ekonomik göstergeleri </w:t>
      </w:r>
      <w:bookmarkEnd w:id="90"/>
    </w:p>
    <w:p w14:paraId="4415EDC3" w14:textId="2256631D" w:rsidR="004B4889" w:rsidRPr="007C588C" w:rsidRDefault="004B4889" w:rsidP="004B4889">
      <w:pPr>
        <w:pStyle w:val="ListeParagraf"/>
        <w:numPr>
          <w:ilvl w:val="0"/>
          <w:numId w:val="33"/>
        </w:numPr>
        <w:tabs>
          <w:tab w:val="left" w:pos="360"/>
        </w:tabs>
        <w:spacing w:before="120" w:after="120"/>
        <w:jc w:val="both"/>
        <w:rPr>
          <w:bCs/>
          <w:spacing w:val="-2"/>
        </w:rPr>
      </w:pPr>
      <w:bookmarkStart w:id="95" w:name="_Toc98149765"/>
      <w:r w:rsidRPr="007C588C">
        <w:rPr>
          <w:noProof/>
        </w:rPr>
        <w:t>Yerli üretim dalının</w:t>
      </w:r>
      <w:r w:rsidRPr="007C588C">
        <w:rPr>
          <w:bCs/>
          <w:spacing w:val="-2"/>
        </w:rPr>
        <w:t xml:space="preserve"> ekonomik göstergeleri, yerli üretim dalının </w:t>
      </w:r>
      <w:bookmarkStart w:id="96" w:name="_Hlk125709189"/>
      <w:r w:rsidRPr="007C588C">
        <w:rPr>
          <w:bCs/>
          <w:spacing w:val="-2"/>
        </w:rPr>
        <w:t>1/1/2020-</w:t>
      </w:r>
      <w:r w:rsidR="00D26D02">
        <w:rPr>
          <w:bCs/>
          <w:spacing w:val="-2"/>
        </w:rPr>
        <w:t>30/6/2023</w:t>
      </w:r>
      <w:r w:rsidRPr="007C588C">
        <w:rPr>
          <w:bCs/>
          <w:spacing w:val="-2"/>
        </w:rPr>
        <w:t xml:space="preserve"> </w:t>
      </w:r>
      <w:bookmarkEnd w:id="96"/>
      <w:r w:rsidRPr="007C588C">
        <w:rPr>
          <w:bCs/>
          <w:spacing w:val="-2"/>
        </w:rPr>
        <w:t xml:space="preserve">dönemine ait verileri esas alınarak incelenmiştir. </w:t>
      </w:r>
    </w:p>
    <w:p w14:paraId="184F2072" w14:textId="77777777" w:rsidR="004B4889" w:rsidRPr="007C588C" w:rsidRDefault="004B4889" w:rsidP="004B4889">
      <w:pPr>
        <w:pStyle w:val="ListeParagraf"/>
        <w:numPr>
          <w:ilvl w:val="0"/>
          <w:numId w:val="33"/>
        </w:numPr>
        <w:tabs>
          <w:tab w:val="left" w:pos="360"/>
        </w:tabs>
        <w:spacing w:before="120" w:after="120"/>
        <w:jc w:val="both"/>
        <w:rPr>
          <w:bCs/>
          <w:spacing w:val="-2"/>
        </w:rPr>
      </w:pPr>
      <w:r w:rsidRPr="007C588C">
        <w:rPr>
          <w:noProof/>
        </w:rPr>
        <w:t>Eğilimin sağlıklı bir şekilde analiz edilebilmesi amacıyla, Türk lirası bazındaki veriler yıllık ortalama</w:t>
      </w:r>
      <w:r w:rsidRPr="007C588C">
        <w:rPr>
          <w:bCs/>
        </w:rPr>
        <w:t xml:space="preserve"> Üretici Fiyat Endeksi (ÜFE) kullanılması suretiyle enflasyondan arındırılarak endekslenmiştir.</w:t>
      </w:r>
    </w:p>
    <w:p w14:paraId="7F07DD65" w14:textId="559A5618" w:rsidR="00A34324" w:rsidRPr="004B4889" w:rsidRDefault="004B4889" w:rsidP="004B4889">
      <w:pPr>
        <w:pStyle w:val="ListeParagraf"/>
        <w:numPr>
          <w:ilvl w:val="0"/>
          <w:numId w:val="33"/>
        </w:numPr>
        <w:tabs>
          <w:tab w:val="left" w:pos="360"/>
        </w:tabs>
        <w:spacing w:before="120" w:after="120"/>
        <w:jc w:val="both"/>
        <w:rPr>
          <w:bCs/>
        </w:rPr>
      </w:pPr>
      <w:r w:rsidRPr="007C588C">
        <w:rPr>
          <w:bCs/>
        </w:rPr>
        <w:t xml:space="preserve">Ekonomik göstergelerin değerlendirilmesinde, soruşturma konusu ürüne ait miktar incelemesinde </w:t>
      </w:r>
      <w:r>
        <w:rPr>
          <w:bCs/>
        </w:rPr>
        <w:t>ton ölçü birimi kullanılmıştır</w:t>
      </w:r>
      <w:r w:rsidR="00A34324" w:rsidRPr="0055784D">
        <w:t>.</w:t>
      </w:r>
    </w:p>
    <w:p w14:paraId="4C0E0ED7" w14:textId="75F21D36" w:rsidR="00783957" w:rsidRPr="00783957" w:rsidRDefault="00783957" w:rsidP="001161E3">
      <w:pPr>
        <w:tabs>
          <w:tab w:val="left" w:pos="360"/>
        </w:tabs>
        <w:spacing w:before="120" w:after="120"/>
        <w:jc w:val="both"/>
        <w:rPr>
          <w:b/>
          <w:bCs/>
          <w:spacing w:val="-2"/>
        </w:rPr>
      </w:pPr>
      <w:r w:rsidRPr="00783957">
        <w:rPr>
          <w:b/>
          <w:bCs/>
          <w:spacing w:val="-2"/>
        </w:rPr>
        <w:t xml:space="preserve">a) Üretim, </w:t>
      </w:r>
      <w:r w:rsidR="00964ECE" w:rsidRPr="00783957">
        <w:rPr>
          <w:b/>
          <w:bCs/>
          <w:spacing w:val="-2"/>
        </w:rPr>
        <w:t xml:space="preserve">kapasite ve kapasite kullanım oranı </w:t>
      </w:r>
      <w:r w:rsidRPr="00783957">
        <w:rPr>
          <w:b/>
          <w:bCs/>
          <w:spacing w:val="-2"/>
        </w:rPr>
        <w:t>(KKO)</w:t>
      </w:r>
    </w:p>
    <w:p w14:paraId="460751A8" w14:textId="38313707" w:rsidR="00256365" w:rsidRPr="00256365" w:rsidRDefault="00783957" w:rsidP="00256365">
      <w:pPr>
        <w:shd w:val="clear" w:color="auto" w:fill="FFFFFF"/>
        <w:spacing w:before="120" w:after="120"/>
        <w:jc w:val="both"/>
        <w:rPr>
          <w:bCs/>
        </w:rPr>
      </w:pPr>
      <w:r w:rsidRPr="00783957">
        <w:rPr>
          <w:spacing w:val="-2"/>
        </w:rPr>
        <w:t>(1)</w:t>
      </w:r>
      <w:r w:rsidR="00256365" w:rsidRPr="00256365">
        <w:rPr>
          <w:bCs/>
        </w:rPr>
        <w:t xml:space="preserve"> </w:t>
      </w:r>
      <w:r w:rsidR="00256365" w:rsidRPr="00256365">
        <w:t>Yerli üretim dalının</w:t>
      </w:r>
      <w:r w:rsidR="00256365" w:rsidRPr="00256365">
        <w:rPr>
          <w:bCs/>
        </w:rPr>
        <w:t xml:space="preserve"> soruşturma konusu ürün için 2020 yılında 100 birim olan üretim miktar endeksi, 2021 yılında 128 birim, 2022 yılında 150 birim, </w:t>
      </w:r>
      <w:proofErr w:type="spellStart"/>
      <w:r w:rsidR="00256365" w:rsidRPr="00256365">
        <w:rPr>
          <w:bCs/>
        </w:rPr>
        <w:t>SD’de</w:t>
      </w:r>
      <w:proofErr w:type="spellEnd"/>
      <w:r w:rsidR="00256365" w:rsidRPr="00256365">
        <w:rPr>
          <w:bCs/>
        </w:rPr>
        <w:t xml:space="preserve"> ise 145 birim seviyesinde gerçekleşmiştir. </w:t>
      </w:r>
    </w:p>
    <w:p w14:paraId="21D485C8" w14:textId="361F0AAF" w:rsidR="00256365" w:rsidRPr="00256365" w:rsidRDefault="00256365" w:rsidP="00256365">
      <w:pPr>
        <w:shd w:val="clear" w:color="auto" w:fill="FFFFFF"/>
        <w:spacing w:before="120" w:after="120"/>
        <w:jc w:val="both"/>
        <w:rPr>
          <w:bCs/>
        </w:rPr>
      </w:pPr>
      <w:r w:rsidRPr="00256365">
        <w:rPr>
          <w:bCs/>
        </w:rPr>
        <w:t xml:space="preserve">(2) </w:t>
      </w:r>
      <w:r w:rsidRPr="00256365">
        <w:t>Yerli üretim dalının</w:t>
      </w:r>
      <w:r w:rsidRPr="00256365">
        <w:rPr>
          <w:bCs/>
        </w:rPr>
        <w:t xml:space="preserve"> 2020 yılında 100 birim olan kapasite endeksi 2021 y</w:t>
      </w:r>
      <w:r w:rsidR="00522ABA">
        <w:rPr>
          <w:bCs/>
        </w:rPr>
        <w:t xml:space="preserve">ılında 101 birim, 2022 yılında </w:t>
      </w:r>
      <w:r w:rsidRPr="00256365">
        <w:rPr>
          <w:bCs/>
        </w:rPr>
        <w:t xml:space="preserve">96 birim, </w:t>
      </w:r>
      <w:proofErr w:type="spellStart"/>
      <w:r w:rsidRPr="00256365">
        <w:rPr>
          <w:bCs/>
        </w:rPr>
        <w:t>SD’de</w:t>
      </w:r>
      <w:proofErr w:type="spellEnd"/>
      <w:r w:rsidRPr="00256365">
        <w:rPr>
          <w:bCs/>
        </w:rPr>
        <w:t xml:space="preserve"> ise 95 birim seviyesinde gerçekleşmiştir. KKO endeksi ise sırasıyla 100 birim, 127 birim, 157 birim ve 153 birim olarak gerçekleşmiştir. </w:t>
      </w:r>
    </w:p>
    <w:p w14:paraId="554A9341" w14:textId="79AB5F61" w:rsidR="00256365" w:rsidRPr="00256365" w:rsidRDefault="00256365" w:rsidP="00964ECE">
      <w:pPr>
        <w:numPr>
          <w:ilvl w:val="0"/>
          <w:numId w:val="46"/>
        </w:numPr>
        <w:tabs>
          <w:tab w:val="left" w:pos="360"/>
        </w:tabs>
        <w:spacing w:before="120" w:after="120" w:line="276" w:lineRule="auto"/>
        <w:jc w:val="both"/>
        <w:rPr>
          <w:b/>
          <w:bCs/>
          <w:spacing w:val="-2"/>
        </w:rPr>
      </w:pPr>
      <w:bookmarkStart w:id="97" w:name="_Toc133315951"/>
      <w:bookmarkStart w:id="98" w:name="_Toc98149766"/>
      <w:bookmarkEnd w:id="95"/>
      <w:r w:rsidRPr="00256365">
        <w:rPr>
          <w:b/>
          <w:bCs/>
          <w:spacing w:val="-2"/>
        </w:rPr>
        <w:t xml:space="preserve">Yurt </w:t>
      </w:r>
      <w:r w:rsidR="00964ECE" w:rsidRPr="00256365">
        <w:rPr>
          <w:b/>
          <w:bCs/>
          <w:spacing w:val="-2"/>
        </w:rPr>
        <w:t>içi ve yurt dışı satışlar</w:t>
      </w:r>
    </w:p>
    <w:p w14:paraId="2900075F" w14:textId="77777777" w:rsidR="00256365" w:rsidRPr="00256365" w:rsidRDefault="00256365" w:rsidP="00256365">
      <w:pPr>
        <w:numPr>
          <w:ilvl w:val="0"/>
          <w:numId w:val="35"/>
        </w:numPr>
        <w:tabs>
          <w:tab w:val="left" w:pos="360"/>
        </w:tabs>
        <w:spacing w:before="120" w:after="120"/>
        <w:ind w:left="0" w:firstLine="0"/>
        <w:jc w:val="both"/>
        <w:rPr>
          <w:bCs/>
          <w:spacing w:val="-2"/>
          <w:lang w:eastAsia="en-US"/>
        </w:rPr>
      </w:pPr>
      <w:r w:rsidRPr="00256365">
        <w:rPr>
          <w:lang w:eastAsia="en-US"/>
        </w:rPr>
        <w:t>Yerli üretim dalının</w:t>
      </w:r>
      <w:r w:rsidRPr="00256365">
        <w:rPr>
          <w:bCs/>
          <w:spacing w:val="-2"/>
          <w:lang w:eastAsia="en-US"/>
        </w:rPr>
        <w:t xml:space="preserve"> soruşturma konusu ürün için 2020 yılında 100 birim olarak kabul edilen yurt içi satış miktarı endeksi 2021 yılında 132 birim, 2022 yılında 144 birim, </w:t>
      </w:r>
      <w:proofErr w:type="spellStart"/>
      <w:r w:rsidRPr="00256365">
        <w:rPr>
          <w:bCs/>
          <w:spacing w:val="-2"/>
          <w:lang w:eastAsia="en-US"/>
        </w:rPr>
        <w:t>SD’de</w:t>
      </w:r>
      <w:proofErr w:type="spellEnd"/>
      <w:r w:rsidRPr="00256365">
        <w:rPr>
          <w:bCs/>
          <w:spacing w:val="-2"/>
          <w:lang w:eastAsia="en-US"/>
        </w:rPr>
        <w:t xml:space="preserve"> ise 148 birim </w:t>
      </w:r>
      <w:r w:rsidRPr="00256365">
        <w:rPr>
          <w:bCs/>
          <w:lang w:eastAsia="en-US"/>
        </w:rPr>
        <w:t>seviyesinde gerçekleşmiştir</w:t>
      </w:r>
      <w:r w:rsidRPr="00256365">
        <w:rPr>
          <w:bCs/>
          <w:spacing w:val="-2"/>
          <w:lang w:eastAsia="en-US"/>
        </w:rPr>
        <w:t xml:space="preserve">. </w:t>
      </w:r>
    </w:p>
    <w:p w14:paraId="01278A6D" w14:textId="77777777" w:rsidR="00256365" w:rsidRPr="00256365" w:rsidRDefault="00256365" w:rsidP="00256365">
      <w:pPr>
        <w:numPr>
          <w:ilvl w:val="0"/>
          <w:numId w:val="35"/>
        </w:numPr>
        <w:tabs>
          <w:tab w:val="left" w:pos="360"/>
        </w:tabs>
        <w:spacing w:before="120" w:after="120"/>
        <w:ind w:left="0" w:firstLine="0"/>
        <w:jc w:val="both"/>
        <w:rPr>
          <w:bCs/>
          <w:spacing w:val="-2"/>
          <w:lang w:eastAsia="en-US"/>
        </w:rPr>
      </w:pPr>
      <w:r w:rsidRPr="00256365">
        <w:rPr>
          <w:bCs/>
          <w:spacing w:val="-2"/>
          <w:lang w:eastAsia="en-US"/>
        </w:rPr>
        <w:t>Aynı dönemde, yurt içi satış değeri endeksi sırasıyla 100</w:t>
      </w:r>
      <w:r w:rsidRPr="00256365">
        <w:rPr>
          <w:bCs/>
          <w:lang w:eastAsia="en-US"/>
        </w:rPr>
        <w:t xml:space="preserve"> birim</w:t>
      </w:r>
      <w:r w:rsidRPr="00256365">
        <w:rPr>
          <w:bCs/>
          <w:spacing w:val="-2"/>
          <w:lang w:eastAsia="en-US"/>
        </w:rPr>
        <w:t>, 123</w:t>
      </w:r>
      <w:r w:rsidRPr="00256365">
        <w:rPr>
          <w:bCs/>
          <w:lang w:eastAsia="en-US"/>
        </w:rPr>
        <w:t xml:space="preserve"> birim</w:t>
      </w:r>
      <w:r w:rsidRPr="00256365">
        <w:rPr>
          <w:bCs/>
          <w:spacing w:val="-2"/>
          <w:lang w:eastAsia="en-US"/>
        </w:rPr>
        <w:t>, 119</w:t>
      </w:r>
      <w:r w:rsidRPr="00256365">
        <w:rPr>
          <w:bCs/>
          <w:lang w:eastAsia="en-US"/>
        </w:rPr>
        <w:t xml:space="preserve"> birim</w:t>
      </w:r>
      <w:r w:rsidRPr="00256365">
        <w:rPr>
          <w:bCs/>
          <w:spacing w:val="-2"/>
          <w:lang w:eastAsia="en-US"/>
        </w:rPr>
        <w:t xml:space="preserve"> ve 105</w:t>
      </w:r>
      <w:r w:rsidRPr="00256365">
        <w:rPr>
          <w:bCs/>
          <w:lang w:eastAsia="en-US"/>
        </w:rPr>
        <w:t xml:space="preserve"> </w:t>
      </w:r>
      <w:r w:rsidRPr="00256365">
        <w:rPr>
          <w:bCs/>
          <w:spacing w:val="-2"/>
          <w:lang w:eastAsia="en-US"/>
        </w:rPr>
        <w:t>birim olmuştur.</w:t>
      </w:r>
    </w:p>
    <w:p w14:paraId="64F632F0" w14:textId="77777777" w:rsidR="00256365" w:rsidRPr="00256365" w:rsidRDefault="00256365" w:rsidP="00256365">
      <w:pPr>
        <w:numPr>
          <w:ilvl w:val="0"/>
          <w:numId w:val="35"/>
        </w:numPr>
        <w:tabs>
          <w:tab w:val="left" w:pos="360"/>
        </w:tabs>
        <w:spacing w:before="120" w:after="120"/>
        <w:ind w:left="0" w:firstLine="0"/>
        <w:jc w:val="both"/>
        <w:rPr>
          <w:bCs/>
          <w:spacing w:val="-2"/>
          <w:lang w:eastAsia="en-US"/>
        </w:rPr>
      </w:pPr>
      <w:r w:rsidRPr="00256365">
        <w:rPr>
          <w:lang w:eastAsia="en-US"/>
        </w:rPr>
        <w:t>Yerli üretim dalının</w:t>
      </w:r>
      <w:r w:rsidRPr="00256365">
        <w:rPr>
          <w:bCs/>
          <w:spacing w:val="-2"/>
          <w:lang w:eastAsia="en-US"/>
        </w:rPr>
        <w:t xml:space="preserve"> yurt dışı satış miktar endeksi 2020 yılında 100 birim, 2021 yılında 149 birim, 2022 yılında 201 birim, </w:t>
      </w:r>
      <w:proofErr w:type="spellStart"/>
      <w:r w:rsidRPr="00256365">
        <w:rPr>
          <w:bCs/>
          <w:spacing w:val="-2"/>
          <w:lang w:eastAsia="en-US"/>
        </w:rPr>
        <w:t>SD’de</w:t>
      </w:r>
      <w:proofErr w:type="spellEnd"/>
      <w:r w:rsidRPr="00256365">
        <w:rPr>
          <w:bCs/>
          <w:spacing w:val="-2"/>
          <w:lang w:eastAsia="en-US"/>
        </w:rPr>
        <w:t xml:space="preserve"> ise 172 birim olmuştur.</w:t>
      </w:r>
    </w:p>
    <w:p w14:paraId="540D1BFF" w14:textId="77777777" w:rsidR="00256365" w:rsidRPr="00256365" w:rsidRDefault="00256365" w:rsidP="00256365">
      <w:pPr>
        <w:numPr>
          <w:ilvl w:val="0"/>
          <w:numId w:val="35"/>
        </w:numPr>
        <w:tabs>
          <w:tab w:val="left" w:pos="360"/>
        </w:tabs>
        <w:spacing w:before="120" w:after="120"/>
        <w:ind w:left="0" w:firstLine="0"/>
        <w:jc w:val="both"/>
        <w:rPr>
          <w:bCs/>
          <w:spacing w:val="-2"/>
          <w:lang w:eastAsia="en-US"/>
        </w:rPr>
      </w:pPr>
      <w:r w:rsidRPr="00256365">
        <w:rPr>
          <w:bCs/>
          <w:spacing w:val="-2"/>
          <w:lang w:eastAsia="en-US"/>
        </w:rPr>
        <w:t>Aynı dönemde, yurt dışı satış değer endeksi sırasıyla 100</w:t>
      </w:r>
      <w:r w:rsidRPr="00256365">
        <w:rPr>
          <w:bCs/>
          <w:lang w:eastAsia="en-US"/>
        </w:rPr>
        <w:t xml:space="preserve"> birim</w:t>
      </w:r>
      <w:r w:rsidRPr="00256365">
        <w:rPr>
          <w:bCs/>
          <w:spacing w:val="-2"/>
          <w:lang w:eastAsia="en-US"/>
        </w:rPr>
        <w:t>, 136</w:t>
      </w:r>
      <w:r w:rsidRPr="00256365">
        <w:rPr>
          <w:bCs/>
          <w:lang w:eastAsia="en-US"/>
        </w:rPr>
        <w:t xml:space="preserve"> birim</w:t>
      </w:r>
      <w:r w:rsidRPr="00256365">
        <w:rPr>
          <w:bCs/>
          <w:spacing w:val="-2"/>
          <w:lang w:eastAsia="en-US"/>
        </w:rPr>
        <w:t>, 153</w:t>
      </w:r>
      <w:r w:rsidRPr="00256365">
        <w:rPr>
          <w:bCs/>
          <w:lang w:eastAsia="en-US"/>
        </w:rPr>
        <w:t xml:space="preserve"> birim</w:t>
      </w:r>
      <w:r w:rsidRPr="00256365">
        <w:rPr>
          <w:bCs/>
          <w:spacing w:val="-2"/>
          <w:lang w:eastAsia="en-US"/>
        </w:rPr>
        <w:t xml:space="preserve"> ve 116 birim olarak gerçekleşmiştir. </w:t>
      </w:r>
    </w:p>
    <w:p w14:paraId="15F7DFC7" w14:textId="7533FEAE" w:rsidR="00256365" w:rsidRPr="00256365" w:rsidRDefault="00256365" w:rsidP="00964ECE">
      <w:pPr>
        <w:numPr>
          <w:ilvl w:val="0"/>
          <w:numId w:val="46"/>
        </w:numPr>
        <w:tabs>
          <w:tab w:val="left" w:pos="360"/>
        </w:tabs>
        <w:spacing w:before="120" w:after="120" w:line="276" w:lineRule="auto"/>
        <w:ind w:left="426" w:hanging="426"/>
        <w:jc w:val="both"/>
        <w:rPr>
          <w:b/>
          <w:bCs/>
          <w:spacing w:val="-2"/>
        </w:rPr>
      </w:pPr>
      <w:r w:rsidRPr="00256365">
        <w:rPr>
          <w:b/>
          <w:bCs/>
          <w:spacing w:val="-2"/>
        </w:rPr>
        <w:t xml:space="preserve">Yurt </w:t>
      </w:r>
      <w:r w:rsidR="00964ECE" w:rsidRPr="00256365">
        <w:rPr>
          <w:b/>
          <w:bCs/>
          <w:spacing w:val="-2"/>
        </w:rPr>
        <w:t xml:space="preserve">içi fiyatlar </w:t>
      </w:r>
    </w:p>
    <w:p w14:paraId="61509C79" w14:textId="77777777" w:rsidR="00256365" w:rsidRPr="00256365" w:rsidRDefault="00256365" w:rsidP="00256365">
      <w:pPr>
        <w:tabs>
          <w:tab w:val="left" w:pos="360"/>
        </w:tabs>
        <w:spacing w:before="120" w:after="120" w:line="276" w:lineRule="auto"/>
        <w:jc w:val="both"/>
      </w:pPr>
      <w:r w:rsidRPr="00256365">
        <w:rPr>
          <w:bCs/>
          <w:spacing w:val="-2"/>
        </w:rPr>
        <w:t xml:space="preserve">(1) </w:t>
      </w:r>
      <w:r w:rsidRPr="00256365">
        <w:t xml:space="preserve">Yerli üretim dalının soruşturma konusu ürün için 2020 yılında 100 birim olarak kabul edilen yurtiçi satış birim fiyatı endeksi 2021 yılında 93 birim, 2022 yılında 83 birim, </w:t>
      </w:r>
      <w:proofErr w:type="spellStart"/>
      <w:r w:rsidRPr="00256365">
        <w:t>SD’de</w:t>
      </w:r>
      <w:proofErr w:type="spellEnd"/>
      <w:r w:rsidRPr="00256365">
        <w:t xml:space="preserve"> ise 71 birim seviyesine gerilemiştir. </w:t>
      </w:r>
    </w:p>
    <w:p w14:paraId="6C8FBD39" w14:textId="2B881693" w:rsidR="00256365" w:rsidRPr="00256365" w:rsidRDefault="00256365" w:rsidP="00964ECE">
      <w:pPr>
        <w:numPr>
          <w:ilvl w:val="0"/>
          <w:numId w:val="46"/>
        </w:numPr>
        <w:tabs>
          <w:tab w:val="left" w:pos="360"/>
        </w:tabs>
        <w:spacing w:before="120" w:after="120" w:line="276" w:lineRule="auto"/>
        <w:ind w:left="426" w:hanging="426"/>
        <w:jc w:val="both"/>
        <w:rPr>
          <w:b/>
          <w:bCs/>
          <w:spacing w:val="-2"/>
        </w:rPr>
      </w:pPr>
      <w:r w:rsidRPr="00256365">
        <w:rPr>
          <w:b/>
          <w:bCs/>
          <w:spacing w:val="-2"/>
        </w:rPr>
        <w:t xml:space="preserve">Pazar </w:t>
      </w:r>
      <w:r w:rsidR="00964ECE" w:rsidRPr="00256365">
        <w:rPr>
          <w:b/>
          <w:bCs/>
          <w:spacing w:val="-2"/>
        </w:rPr>
        <w:t>payı</w:t>
      </w:r>
      <w:r w:rsidRPr="00256365">
        <w:rPr>
          <w:b/>
          <w:bCs/>
          <w:spacing w:val="-2"/>
        </w:rPr>
        <w:tab/>
      </w:r>
    </w:p>
    <w:p w14:paraId="615B29CB" w14:textId="77777777" w:rsidR="00256365" w:rsidRPr="00256365" w:rsidRDefault="00256365" w:rsidP="00256365">
      <w:pPr>
        <w:tabs>
          <w:tab w:val="left" w:pos="360"/>
        </w:tabs>
        <w:spacing w:before="120" w:after="120" w:line="276" w:lineRule="auto"/>
        <w:jc w:val="both"/>
        <w:rPr>
          <w:bCs/>
        </w:rPr>
      </w:pPr>
      <w:r w:rsidRPr="00256365">
        <w:rPr>
          <w:bCs/>
          <w:spacing w:val="-2"/>
        </w:rPr>
        <w:t xml:space="preserve">(1) </w:t>
      </w:r>
      <w:r w:rsidRPr="00256365">
        <w:t>Yerli üretim dalının</w:t>
      </w:r>
      <w:r w:rsidRPr="00256365">
        <w:rPr>
          <w:bCs/>
          <w:spacing w:val="-2"/>
        </w:rPr>
        <w:t xml:space="preserve"> pazar payı endeksi gözden geçirme döneminde sırasıyla 100 birim, 114 birim, 100 birim ve 115</w:t>
      </w:r>
      <w:r w:rsidRPr="00256365">
        <w:rPr>
          <w:bCs/>
        </w:rPr>
        <w:t xml:space="preserve"> birim olarak gerçekleşmiştir.</w:t>
      </w:r>
    </w:p>
    <w:p w14:paraId="015F34C8" w14:textId="327BD380" w:rsidR="00256365" w:rsidRPr="00256365" w:rsidRDefault="00256365" w:rsidP="00964ECE">
      <w:pPr>
        <w:numPr>
          <w:ilvl w:val="0"/>
          <w:numId w:val="46"/>
        </w:numPr>
        <w:tabs>
          <w:tab w:val="left" w:pos="360"/>
        </w:tabs>
        <w:spacing w:before="120" w:after="120" w:line="276" w:lineRule="auto"/>
        <w:jc w:val="both"/>
        <w:rPr>
          <w:b/>
          <w:bCs/>
          <w:spacing w:val="-2"/>
        </w:rPr>
      </w:pPr>
      <w:r w:rsidRPr="00256365">
        <w:rPr>
          <w:b/>
          <w:bCs/>
          <w:spacing w:val="-2"/>
        </w:rPr>
        <w:t>Maliyetler</w:t>
      </w:r>
      <w:r w:rsidRPr="00256365">
        <w:rPr>
          <w:b/>
          <w:bCs/>
          <w:spacing w:val="-2"/>
        </w:rPr>
        <w:tab/>
        <w:t xml:space="preserve"> ve </w:t>
      </w:r>
      <w:r w:rsidR="00964ECE" w:rsidRPr="00256365">
        <w:rPr>
          <w:b/>
          <w:bCs/>
          <w:spacing w:val="-2"/>
        </w:rPr>
        <w:t>kârlılık</w:t>
      </w:r>
    </w:p>
    <w:p w14:paraId="3C787C94" w14:textId="77777777" w:rsidR="00256365" w:rsidRPr="00256365" w:rsidRDefault="00256365" w:rsidP="00256365">
      <w:pPr>
        <w:numPr>
          <w:ilvl w:val="0"/>
          <w:numId w:val="36"/>
        </w:numPr>
        <w:tabs>
          <w:tab w:val="left" w:pos="360"/>
        </w:tabs>
        <w:spacing w:before="120" w:after="120"/>
        <w:ind w:left="0" w:firstLine="0"/>
        <w:jc w:val="both"/>
        <w:rPr>
          <w:bCs/>
          <w:spacing w:val="-2"/>
          <w:lang w:eastAsia="en-US"/>
        </w:rPr>
      </w:pPr>
      <w:r w:rsidRPr="00256365">
        <w:rPr>
          <w:lang w:eastAsia="en-US"/>
        </w:rPr>
        <w:t>Yerli üretim dalının</w:t>
      </w:r>
      <w:r w:rsidRPr="00256365">
        <w:rPr>
          <w:bCs/>
          <w:spacing w:val="-2"/>
          <w:lang w:eastAsia="en-US"/>
        </w:rPr>
        <w:t xml:space="preserve"> soruşturma konusu ürün için 2020 yılında 100 birim olan birim sınai maliyet endeksi 2021 yılında 99 birim, 2022 yılında 86 birim ve </w:t>
      </w:r>
      <w:proofErr w:type="spellStart"/>
      <w:r w:rsidRPr="00256365">
        <w:rPr>
          <w:bCs/>
          <w:spacing w:val="-2"/>
          <w:lang w:eastAsia="en-US"/>
        </w:rPr>
        <w:t>SD’de</w:t>
      </w:r>
      <w:proofErr w:type="spellEnd"/>
      <w:r w:rsidRPr="00256365">
        <w:rPr>
          <w:bCs/>
          <w:spacing w:val="-2"/>
          <w:lang w:eastAsia="en-US"/>
        </w:rPr>
        <w:t xml:space="preserve"> 83 birim olurken; faaliyet ve finansman giderleri eklenerek hesaplanan birim ticari maliyet endeksi sırasıyla 100</w:t>
      </w:r>
      <w:r w:rsidRPr="00256365">
        <w:rPr>
          <w:bCs/>
          <w:lang w:eastAsia="en-US"/>
        </w:rPr>
        <w:t xml:space="preserve"> birim</w:t>
      </w:r>
      <w:r w:rsidRPr="00256365">
        <w:rPr>
          <w:bCs/>
          <w:spacing w:val="-2"/>
          <w:lang w:eastAsia="en-US"/>
        </w:rPr>
        <w:t xml:space="preserve">, 94 </w:t>
      </w:r>
      <w:r w:rsidRPr="00256365">
        <w:rPr>
          <w:bCs/>
          <w:lang w:eastAsia="en-US"/>
        </w:rPr>
        <w:t>birim</w:t>
      </w:r>
      <w:r w:rsidRPr="00256365">
        <w:rPr>
          <w:bCs/>
          <w:spacing w:val="-2"/>
          <w:lang w:eastAsia="en-US"/>
        </w:rPr>
        <w:t xml:space="preserve">, 80 </w:t>
      </w:r>
      <w:r w:rsidRPr="00256365">
        <w:rPr>
          <w:bCs/>
          <w:lang w:eastAsia="en-US"/>
        </w:rPr>
        <w:t>birim</w:t>
      </w:r>
      <w:r w:rsidRPr="00256365">
        <w:rPr>
          <w:bCs/>
          <w:spacing w:val="-2"/>
          <w:lang w:eastAsia="en-US"/>
        </w:rPr>
        <w:t xml:space="preserve"> ve 78 birim seviyesinde gerçekleşmiştir.</w:t>
      </w:r>
    </w:p>
    <w:p w14:paraId="754FFBC7" w14:textId="77777777" w:rsidR="00256365" w:rsidRPr="00256365" w:rsidRDefault="00256365" w:rsidP="00256365">
      <w:pPr>
        <w:numPr>
          <w:ilvl w:val="0"/>
          <w:numId w:val="36"/>
        </w:numPr>
        <w:tabs>
          <w:tab w:val="left" w:pos="360"/>
        </w:tabs>
        <w:spacing w:before="120" w:after="120"/>
        <w:ind w:left="0" w:firstLine="0"/>
        <w:jc w:val="both"/>
        <w:rPr>
          <w:bCs/>
          <w:spacing w:val="-2"/>
          <w:lang w:eastAsia="en-US"/>
        </w:rPr>
      </w:pPr>
      <w:r w:rsidRPr="00256365">
        <w:rPr>
          <w:bCs/>
          <w:spacing w:val="-2"/>
          <w:lang w:eastAsia="en-US"/>
        </w:rPr>
        <w:t xml:space="preserve">Yerli üretim dalının soruşturma konusu ürün için gerçekleşen ticari maliyetleri ve yurt içi satış fiyatları dikkate alınarak hesaplanan yurt içi satışlardan birim kârlılık endeksi 2020 yılında 100 birim, 2021 yılında 76 birim, 2022 yılında 77 birim ve </w:t>
      </w:r>
      <w:proofErr w:type="spellStart"/>
      <w:r w:rsidRPr="00256365">
        <w:rPr>
          <w:bCs/>
          <w:spacing w:val="-2"/>
          <w:lang w:eastAsia="en-US"/>
        </w:rPr>
        <w:t>SD’de</w:t>
      </w:r>
      <w:proofErr w:type="spellEnd"/>
      <w:r w:rsidRPr="00256365">
        <w:rPr>
          <w:bCs/>
          <w:spacing w:val="-2"/>
          <w:lang w:eastAsia="en-US"/>
        </w:rPr>
        <w:t xml:space="preserve"> 41 birim olarak gerçekleşmiştir.</w:t>
      </w:r>
    </w:p>
    <w:p w14:paraId="187AE793" w14:textId="77777777" w:rsidR="00256365" w:rsidRPr="00256365" w:rsidRDefault="00256365" w:rsidP="00256365">
      <w:pPr>
        <w:numPr>
          <w:ilvl w:val="0"/>
          <w:numId w:val="36"/>
        </w:numPr>
        <w:tabs>
          <w:tab w:val="left" w:pos="360"/>
        </w:tabs>
        <w:spacing w:before="120" w:after="120"/>
        <w:ind w:left="0" w:firstLine="0"/>
        <w:jc w:val="both"/>
        <w:rPr>
          <w:bCs/>
          <w:spacing w:val="-2"/>
          <w:lang w:eastAsia="en-US"/>
        </w:rPr>
      </w:pPr>
      <w:r w:rsidRPr="00256365">
        <w:rPr>
          <w:bCs/>
          <w:spacing w:val="-2"/>
          <w:lang w:eastAsia="en-US"/>
        </w:rPr>
        <w:t>Yurt dışı satışlardan birim kârlılık endeksi 2020 yılından itibaren sırasıyla 100</w:t>
      </w:r>
      <w:r w:rsidRPr="00256365">
        <w:rPr>
          <w:bCs/>
          <w:lang w:eastAsia="en-US"/>
        </w:rPr>
        <w:t xml:space="preserve"> birim</w:t>
      </w:r>
      <w:r w:rsidRPr="00256365">
        <w:rPr>
          <w:bCs/>
          <w:spacing w:val="-2"/>
          <w:lang w:eastAsia="en-US"/>
        </w:rPr>
        <w:t xml:space="preserve">, 81 </w:t>
      </w:r>
      <w:r w:rsidRPr="00256365">
        <w:rPr>
          <w:bCs/>
          <w:lang w:eastAsia="en-US"/>
        </w:rPr>
        <w:t>birim</w:t>
      </w:r>
      <w:r w:rsidRPr="00256365">
        <w:rPr>
          <w:bCs/>
          <w:spacing w:val="-2"/>
          <w:lang w:eastAsia="en-US"/>
        </w:rPr>
        <w:t>, 57</w:t>
      </w:r>
      <w:r w:rsidRPr="00256365">
        <w:rPr>
          <w:bCs/>
          <w:lang w:eastAsia="en-US"/>
        </w:rPr>
        <w:t xml:space="preserve"> birim</w:t>
      </w:r>
      <w:r w:rsidRPr="00256365">
        <w:rPr>
          <w:bCs/>
          <w:spacing w:val="-2"/>
          <w:lang w:eastAsia="en-US"/>
        </w:rPr>
        <w:t xml:space="preserve"> ve 34 birim olarak gerçekleşmiştir.</w:t>
      </w:r>
    </w:p>
    <w:p w14:paraId="3E12A3A1" w14:textId="77777777" w:rsidR="00256365" w:rsidRPr="00256365" w:rsidRDefault="00256365" w:rsidP="00256365">
      <w:pPr>
        <w:numPr>
          <w:ilvl w:val="0"/>
          <w:numId w:val="36"/>
        </w:numPr>
        <w:tabs>
          <w:tab w:val="left" w:pos="360"/>
        </w:tabs>
        <w:spacing w:before="120" w:after="120"/>
        <w:ind w:left="0" w:firstLine="0"/>
        <w:jc w:val="both"/>
        <w:rPr>
          <w:b/>
          <w:bCs/>
          <w:spacing w:val="-2"/>
          <w:lang w:eastAsia="en-US"/>
        </w:rPr>
      </w:pPr>
      <w:r w:rsidRPr="00256365">
        <w:rPr>
          <w:bCs/>
          <w:spacing w:val="-2"/>
          <w:lang w:eastAsia="en-US"/>
        </w:rPr>
        <w:lastRenderedPageBreak/>
        <w:t>Yerli üretim dalının toplam satışlarının birim k</w:t>
      </w:r>
      <w:r w:rsidRPr="00256365">
        <w:rPr>
          <w:bCs/>
          <w:lang w:eastAsia="en-US"/>
        </w:rPr>
        <w:t>â</w:t>
      </w:r>
      <w:r w:rsidRPr="00256365">
        <w:rPr>
          <w:bCs/>
          <w:spacing w:val="-2"/>
          <w:lang w:eastAsia="en-US"/>
        </w:rPr>
        <w:t xml:space="preserve">rlılığı ise 2020 yılında 100 birim, 2021 yılında 80 birim, 2021 yılında 69 birim ve </w:t>
      </w:r>
      <w:proofErr w:type="spellStart"/>
      <w:r w:rsidRPr="00256365">
        <w:rPr>
          <w:bCs/>
          <w:spacing w:val="-2"/>
          <w:lang w:eastAsia="en-US"/>
        </w:rPr>
        <w:t>SD’de</w:t>
      </w:r>
      <w:proofErr w:type="spellEnd"/>
      <w:r w:rsidRPr="00256365">
        <w:rPr>
          <w:bCs/>
          <w:spacing w:val="-2"/>
          <w:lang w:eastAsia="en-US"/>
        </w:rPr>
        <w:t xml:space="preserve"> 38 birim seviyesindedir.</w:t>
      </w:r>
    </w:p>
    <w:p w14:paraId="6C1C3E4A" w14:textId="77777777" w:rsidR="00256365" w:rsidRPr="00256365" w:rsidRDefault="00256365" w:rsidP="00964ECE">
      <w:pPr>
        <w:numPr>
          <w:ilvl w:val="0"/>
          <w:numId w:val="46"/>
        </w:numPr>
        <w:tabs>
          <w:tab w:val="left" w:pos="360"/>
        </w:tabs>
        <w:spacing w:before="120" w:after="120" w:line="276" w:lineRule="auto"/>
        <w:ind w:left="426" w:hanging="426"/>
        <w:jc w:val="both"/>
        <w:rPr>
          <w:b/>
          <w:bCs/>
          <w:spacing w:val="-2"/>
        </w:rPr>
      </w:pPr>
      <w:r w:rsidRPr="00256365">
        <w:rPr>
          <w:b/>
          <w:bCs/>
          <w:spacing w:val="-2"/>
        </w:rPr>
        <w:t>Stoklar</w:t>
      </w:r>
      <w:r w:rsidRPr="00256365">
        <w:rPr>
          <w:b/>
          <w:bCs/>
          <w:spacing w:val="-2"/>
        </w:rPr>
        <w:tab/>
      </w:r>
    </w:p>
    <w:p w14:paraId="128E7ED1" w14:textId="77777777" w:rsidR="00256365" w:rsidRPr="00256365" w:rsidRDefault="00256365" w:rsidP="00256365">
      <w:pPr>
        <w:tabs>
          <w:tab w:val="left" w:pos="360"/>
        </w:tabs>
        <w:spacing w:before="120" w:after="120"/>
        <w:jc w:val="both"/>
        <w:rPr>
          <w:b/>
          <w:bCs/>
          <w:spacing w:val="-2"/>
        </w:rPr>
      </w:pPr>
      <w:r w:rsidRPr="00256365">
        <w:rPr>
          <w:bCs/>
          <w:spacing w:val="-2"/>
        </w:rPr>
        <w:t xml:space="preserve">(1) </w:t>
      </w:r>
      <w:r w:rsidRPr="00256365">
        <w:t>Yerli üretim dalının</w:t>
      </w:r>
      <w:r w:rsidRPr="00256365">
        <w:rPr>
          <w:bCs/>
          <w:spacing w:val="-2"/>
        </w:rPr>
        <w:t xml:space="preserve"> 2020 yılında 100 birim olan dönem sonu stok miktarı endeksi, 2021 yılında 119 birim, 2022 yılında 112 birim ve </w:t>
      </w:r>
      <w:proofErr w:type="spellStart"/>
      <w:r w:rsidRPr="00256365">
        <w:rPr>
          <w:bCs/>
          <w:spacing w:val="-2"/>
        </w:rPr>
        <w:t>SD’de</w:t>
      </w:r>
      <w:proofErr w:type="spellEnd"/>
      <w:r w:rsidRPr="00256365">
        <w:rPr>
          <w:bCs/>
          <w:spacing w:val="-2"/>
        </w:rPr>
        <w:t xml:space="preserve"> 111 birim seviyesindedir.</w:t>
      </w:r>
    </w:p>
    <w:p w14:paraId="7FA3DAFC" w14:textId="77777777" w:rsidR="00256365" w:rsidRPr="00256365" w:rsidRDefault="00256365" w:rsidP="00964ECE">
      <w:pPr>
        <w:numPr>
          <w:ilvl w:val="0"/>
          <w:numId w:val="46"/>
        </w:numPr>
        <w:tabs>
          <w:tab w:val="left" w:pos="360"/>
        </w:tabs>
        <w:spacing w:before="120" w:after="120" w:line="276" w:lineRule="auto"/>
        <w:ind w:left="426" w:hanging="426"/>
        <w:jc w:val="both"/>
        <w:rPr>
          <w:b/>
          <w:bCs/>
          <w:spacing w:val="-2"/>
        </w:rPr>
      </w:pPr>
      <w:r w:rsidRPr="00256365">
        <w:rPr>
          <w:b/>
          <w:bCs/>
          <w:spacing w:val="-2"/>
        </w:rPr>
        <w:t xml:space="preserve">İstihdam </w:t>
      </w:r>
    </w:p>
    <w:p w14:paraId="4C14E531" w14:textId="77777777" w:rsidR="00256365" w:rsidRPr="00256365" w:rsidRDefault="00256365" w:rsidP="00256365">
      <w:pPr>
        <w:tabs>
          <w:tab w:val="left" w:pos="360"/>
        </w:tabs>
        <w:spacing w:before="120" w:after="120"/>
        <w:jc w:val="both"/>
        <w:rPr>
          <w:bCs/>
          <w:spacing w:val="-2"/>
        </w:rPr>
      </w:pPr>
      <w:r w:rsidRPr="00256365">
        <w:rPr>
          <w:bCs/>
          <w:spacing w:val="-2"/>
        </w:rPr>
        <w:t xml:space="preserve">(1) Yerli üretim dalının soruşturma konusu ürün üretiminde çalışan işçi sayısı endeksi 2020 yılında 100 birim iken 2021 yılında 102 birim, 2022 yılında ve </w:t>
      </w:r>
      <w:proofErr w:type="spellStart"/>
      <w:r w:rsidRPr="00256365">
        <w:rPr>
          <w:bCs/>
          <w:spacing w:val="-2"/>
        </w:rPr>
        <w:t>SD’de</w:t>
      </w:r>
      <w:proofErr w:type="spellEnd"/>
      <w:r w:rsidRPr="00256365">
        <w:rPr>
          <w:bCs/>
          <w:spacing w:val="-2"/>
        </w:rPr>
        <w:t xml:space="preserve"> ise 103 birim olmuştur.</w:t>
      </w:r>
    </w:p>
    <w:p w14:paraId="58A95527" w14:textId="77777777" w:rsidR="00256365" w:rsidRPr="00256365" w:rsidRDefault="00256365" w:rsidP="00964ECE">
      <w:pPr>
        <w:numPr>
          <w:ilvl w:val="0"/>
          <w:numId w:val="46"/>
        </w:numPr>
        <w:tabs>
          <w:tab w:val="left" w:pos="360"/>
        </w:tabs>
        <w:spacing w:before="120" w:after="120" w:line="276" w:lineRule="auto"/>
        <w:ind w:left="426" w:hanging="426"/>
        <w:jc w:val="both"/>
        <w:rPr>
          <w:b/>
          <w:bCs/>
          <w:spacing w:val="-2"/>
        </w:rPr>
      </w:pPr>
      <w:r w:rsidRPr="00256365">
        <w:rPr>
          <w:b/>
          <w:bCs/>
          <w:spacing w:val="-2"/>
        </w:rPr>
        <w:t>Ücretler</w:t>
      </w:r>
      <w:r w:rsidRPr="00256365">
        <w:rPr>
          <w:b/>
          <w:bCs/>
          <w:spacing w:val="-2"/>
        </w:rPr>
        <w:tab/>
      </w:r>
    </w:p>
    <w:p w14:paraId="73349687" w14:textId="77777777" w:rsidR="00256365" w:rsidRPr="00256365" w:rsidRDefault="00256365" w:rsidP="00256365">
      <w:pPr>
        <w:tabs>
          <w:tab w:val="left" w:pos="360"/>
        </w:tabs>
        <w:spacing w:before="120" w:after="120"/>
        <w:jc w:val="both"/>
        <w:rPr>
          <w:bCs/>
          <w:spacing w:val="-2"/>
        </w:rPr>
      </w:pPr>
      <w:r w:rsidRPr="00256365">
        <w:rPr>
          <w:bCs/>
          <w:spacing w:val="-2"/>
        </w:rPr>
        <w:t xml:space="preserve">(1) </w:t>
      </w:r>
      <w:r w:rsidRPr="00256365">
        <w:t>Soruşturma konusu ürün üretiminde çalışan</w:t>
      </w:r>
      <w:r w:rsidRPr="00256365">
        <w:rPr>
          <w:bCs/>
          <w:spacing w:val="-2"/>
        </w:rPr>
        <w:t xml:space="preserve"> bir işçinin aylık brüt ücretinin endeksi 2020 yılında 100 birim olarak kabul edildiğinde, 2021 yılında 101 birim, 2022 yılında 81 birim ve </w:t>
      </w:r>
      <w:proofErr w:type="spellStart"/>
      <w:r w:rsidRPr="00256365">
        <w:rPr>
          <w:bCs/>
          <w:spacing w:val="-2"/>
        </w:rPr>
        <w:t>SD’de</w:t>
      </w:r>
      <w:proofErr w:type="spellEnd"/>
      <w:r w:rsidRPr="00256365">
        <w:rPr>
          <w:bCs/>
          <w:spacing w:val="-2"/>
        </w:rPr>
        <w:t xml:space="preserve"> 102 birim seviyesinde gerçekleşmiştir.</w:t>
      </w:r>
    </w:p>
    <w:p w14:paraId="437F9F52" w14:textId="77777777" w:rsidR="00256365" w:rsidRPr="00256365" w:rsidRDefault="00256365" w:rsidP="00964ECE">
      <w:pPr>
        <w:numPr>
          <w:ilvl w:val="0"/>
          <w:numId w:val="46"/>
        </w:numPr>
        <w:tabs>
          <w:tab w:val="left" w:pos="360"/>
        </w:tabs>
        <w:spacing w:before="120" w:after="120" w:line="276" w:lineRule="auto"/>
        <w:ind w:left="426" w:hanging="426"/>
        <w:jc w:val="both"/>
        <w:rPr>
          <w:b/>
          <w:bCs/>
          <w:spacing w:val="-2"/>
        </w:rPr>
      </w:pPr>
      <w:r w:rsidRPr="00256365">
        <w:rPr>
          <w:b/>
          <w:bCs/>
          <w:spacing w:val="-2"/>
        </w:rPr>
        <w:t>Verimlilik</w:t>
      </w:r>
      <w:r w:rsidRPr="00256365">
        <w:rPr>
          <w:b/>
          <w:bCs/>
          <w:spacing w:val="-2"/>
        </w:rPr>
        <w:tab/>
      </w:r>
    </w:p>
    <w:p w14:paraId="120FE462" w14:textId="77777777" w:rsidR="00256365" w:rsidRPr="00256365" w:rsidRDefault="00256365" w:rsidP="00256365">
      <w:pPr>
        <w:tabs>
          <w:tab w:val="left" w:pos="360"/>
        </w:tabs>
        <w:spacing w:before="120" w:after="120"/>
        <w:jc w:val="both"/>
        <w:rPr>
          <w:bCs/>
          <w:spacing w:val="-2"/>
        </w:rPr>
      </w:pPr>
      <w:r w:rsidRPr="00256365">
        <w:rPr>
          <w:bCs/>
          <w:spacing w:val="-2"/>
        </w:rPr>
        <w:t xml:space="preserve">(1) Soruşturma konusu ürün üretiminde çalışan işçi başına düşen üretim miktarını gösteren verimlilik endeksi 2020 yılında 100 birim, 2021 yılında 126 birim, 2022 yılında 146 birim ve </w:t>
      </w:r>
      <w:proofErr w:type="spellStart"/>
      <w:r w:rsidRPr="00256365">
        <w:rPr>
          <w:bCs/>
          <w:spacing w:val="-2"/>
        </w:rPr>
        <w:t>SD’de</w:t>
      </w:r>
      <w:proofErr w:type="spellEnd"/>
      <w:r w:rsidRPr="00256365">
        <w:rPr>
          <w:bCs/>
          <w:spacing w:val="-2"/>
        </w:rPr>
        <w:t xml:space="preserve"> 141 birim seviyesindedir.</w:t>
      </w:r>
    </w:p>
    <w:p w14:paraId="06B9440B" w14:textId="49A72117" w:rsidR="00256365" w:rsidRPr="00256365" w:rsidRDefault="00256365" w:rsidP="00964ECE">
      <w:pPr>
        <w:numPr>
          <w:ilvl w:val="0"/>
          <w:numId w:val="46"/>
        </w:numPr>
        <w:tabs>
          <w:tab w:val="left" w:pos="360"/>
        </w:tabs>
        <w:spacing w:before="120" w:after="120" w:line="276" w:lineRule="auto"/>
        <w:ind w:left="426" w:hanging="426"/>
        <w:jc w:val="both"/>
        <w:rPr>
          <w:b/>
          <w:bCs/>
          <w:spacing w:val="-2"/>
        </w:rPr>
      </w:pPr>
      <w:r w:rsidRPr="00256365">
        <w:rPr>
          <w:b/>
          <w:bCs/>
          <w:spacing w:val="-2"/>
        </w:rPr>
        <w:t xml:space="preserve">Nakit </w:t>
      </w:r>
      <w:r w:rsidR="00964ECE" w:rsidRPr="00256365">
        <w:rPr>
          <w:b/>
          <w:bCs/>
          <w:spacing w:val="-2"/>
        </w:rPr>
        <w:t xml:space="preserve">akışı </w:t>
      </w:r>
      <w:r w:rsidRPr="00256365">
        <w:rPr>
          <w:b/>
          <w:bCs/>
          <w:spacing w:val="-2"/>
        </w:rPr>
        <w:tab/>
      </w:r>
    </w:p>
    <w:p w14:paraId="0C741591" w14:textId="77777777" w:rsidR="00256365" w:rsidRPr="00256365" w:rsidRDefault="00256365" w:rsidP="00256365">
      <w:pPr>
        <w:tabs>
          <w:tab w:val="left" w:pos="360"/>
        </w:tabs>
        <w:spacing w:before="120" w:after="120"/>
        <w:jc w:val="both"/>
        <w:rPr>
          <w:bCs/>
          <w:spacing w:val="-2"/>
        </w:rPr>
      </w:pPr>
      <w:r w:rsidRPr="00256365">
        <w:rPr>
          <w:bCs/>
          <w:spacing w:val="-2"/>
        </w:rPr>
        <w:t xml:space="preserve">(1) </w:t>
      </w:r>
      <w:r w:rsidRPr="00256365">
        <w:t>Yerli üretim dalının</w:t>
      </w:r>
      <w:r w:rsidRPr="00256365">
        <w:rPr>
          <w:bCs/>
          <w:spacing w:val="-2"/>
        </w:rPr>
        <w:t xml:space="preserve"> soruşturma konusu ürüne ilişkin amortisman ve kârlılık değerleri dikkate alınarak hesaplanan nakit akışı endeksi 2020 yılında 100 birim, 2021 yılında 107 birim, 2022 yılında 109 birim ve </w:t>
      </w:r>
      <w:proofErr w:type="spellStart"/>
      <w:r w:rsidRPr="00256365">
        <w:rPr>
          <w:bCs/>
          <w:spacing w:val="-2"/>
        </w:rPr>
        <w:t>SD’de</w:t>
      </w:r>
      <w:proofErr w:type="spellEnd"/>
      <w:r w:rsidRPr="00256365">
        <w:rPr>
          <w:bCs/>
          <w:spacing w:val="-2"/>
        </w:rPr>
        <w:t xml:space="preserve"> 71 birim </w:t>
      </w:r>
      <w:r w:rsidRPr="00256365">
        <w:rPr>
          <w:bCs/>
        </w:rPr>
        <w:t>olarak</w:t>
      </w:r>
      <w:r w:rsidRPr="00256365">
        <w:rPr>
          <w:bCs/>
          <w:spacing w:val="-2"/>
        </w:rPr>
        <w:t xml:space="preserve"> gerçekleşmiştir.</w:t>
      </w:r>
    </w:p>
    <w:p w14:paraId="5C6C1EA9" w14:textId="77777777" w:rsidR="00256365" w:rsidRPr="00256365" w:rsidRDefault="00256365" w:rsidP="00964ECE">
      <w:pPr>
        <w:numPr>
          <w:ilvl w:val="0"/>
          <w:numId w:val="46"/>
        </w:numPr>
        <w:tabs>
          <w:tab w:val="left" w:pos="360"/>
        </w:tabs>
        <w:spacing w:before="120" w:after="120" w:line="276" w:lineRule="auto"/>
        <w:ind w:left="426" w:hanging="426"/>
        <w:jc w:val="both"/>
        <w:rPr>
          <w:b/>
          <w:bCs/>
          <w:spacing w:val="-2"/>
        </w:rPr>
      </w:pPr>
      <w:r w:rsidRPr="00256365">
        <w:rPr>
          <w:b/>
          <w:bCs/>
          <w:spacing w:val="-2"/>
        </w:rPr>
        <w:t>Büyüme</w:t>
      </w:r>
    </w:p>
    <w:p w14:paraId="3AE12212" w14:textId="77777777" w:rsidR="00256365" w:rsidRPr="00256365" w:rsidRDefault="00256365" w:rsidP="00256365">
      <w:pPr>
        <w:tabs>
          <w:tab w:val="left" w:pos="360"/>
        </w:tabs>
        <w:spacing w:before="120" w:after="120"/>
        <w:jc w:val="both"/>
        <w:rPr>
          <w:b/>
          <w:bCs/>
          <w:spacing w:val="-2"/>
        </w:rPr>
      </w:pPr>
      <w:r w:rsidRPr="00256365">
        <w:rPr>
          <w:bCs/>
          <w:spacing w:val="-2"/>
        </w:rPr>
        <w:t xml:space="preserve">(1) Yerli üretim dalının bütün faaliyetlerini kapsayan aktif büyüklük endeksi 2020 yılında 100 birim, 2021 yılında 117 birim, 2022 yılında 113 birim ve </w:t>
      </w:r>
      <w:proofErr w:type="spellStart"/>
      <w:r w:rsidRPr="00256365">
        <w:rPr>
          <w:bCs/>
          <w:spacing w:val="-2"/>
        </w:rPr>
        <w:t>SD’de</w:t>
      </w:r>
      <w:proofErr w:type="spellEnd"/>
      <w:r w:rsidRPr="00256365">
        <w:rPr>
          <w:bCs/>
          <w:spacing w:val="-2"/>
        </w:rPr>
        <w:t xml:space="preserve"> 132 birim olarak gerçekleşmiştir.</w:t>
      </w:r>
    </w:p>
    <w:p w14:paraId="69E4DCDC" w14:textId="34D79291" w:rsidR="00256365" w:rsidRPr="00256365" w:rsidRDefault="00256365" w:rsidP="00964ECE">
      <w:pPr>
        <w:numPr>
          <w:ilvl w:val="0"/>
          <w:numId w:val="46"/>
        </w:numPr>
        <w:tabs>
          <w:tab w:val="left" w:pos="360"/>
        </w:tabs>
        <w:spacing w:before="120" w:after="120"/>
        <w:jc w:val="both"/>
        <w:rPr>
          <w:bCs/>
          <w:spacing w:val="-2"/>
          <w:lang w:eastAsia="en-US"/>
        </w:rPr>
      </w:pPr>
      <w:r w:rsidRPr="00256365">
        <w:rPr>
          <w:b/>
          <w:bCs/>
          <w:spacing w:val="-2"/>
          <w:lang w:eastAsia="en-US"/>
        </w:rPr>
        <w:t xml:space="preserve">Sermayeyi </w:t>
      </w:r>
      <w:r w:rsidR="00964ECE" w:rsidRPr="00256365">
        <w:rPr>
          <w:b/>
          <w:bCs/>
          <w:spacing w:val="-2"/>
          <w:lang w:eastAsia="en-US"/>
        </w:rPr>
        <w:t>artırma yeteneği</w:t>
      </w:r>
      <w:r w:rsidRPr="00256365">
        <w:rPr>
          <w:b/>
          <w:bCs/>
          <w:spacing w:val="-2"/>
          <w:lang w:eastAsia="en-US"/>
        </w:rPr>
        <w:tab/>
      </w:r>
    </w:p>
    <w:p w14:paraId="0BF9D957" w14:textId="77777777" w:rsidR="00256365" w:rsidRPr="00256365" w:rsidRDefault="00256365" w:rsidP="00256365">
      <w:pPr>
        <w:tabs>
          <w:tab w:val="left" w:pos="360"/>
        </w:tabs>
        <w:spacing w:before="120" w:after="120"/>
        <w:jc w:val="both"/>
        <w:rPr>
          <w:bCs/>
          <w:spacing w:val="-2"/>
        </w:rPr>
      </w:pPr>
      <w:r w:rsidRPr="00256365">
        <w:rPr>
          <w:bCs/>
          <w:spacing w:val="-2"/>
        </w:rPr>
        <w:t xml:space="preserve">(1) </w:t>
      </w:r>
      <w:r w:rsidRPr="00256365">
        <w:t>Yerli üretim dalının</w:t>
      </w:r>
      <w:r w:rsidRPr="00256365">
        <w:rPr>
          <w:bCs/>
          <w:spacing w:val="-2"/>
        </w:rPr>
        <w:t xml:space="preserve"> öz sermaye endeksi aynı dönemde sırasıyla 100 birim, 94 birim, 90 birim ve </w:t>
      </w:r>
      <w:proofErr w:type="spellStart"/>
      <w:r w:rsidRPr="00256365">
        <w:rPr>
          <w:bCs/>
          <w:spacing w:val="-2"/>
        </w:rPr>
        <w:t>SD’de</w:t>
      </w:r>
      <w:proofErr w:type="spellEnd"/>
      <w:r w:rsidRPr="00256365">
        <w:rPr>
          <w:bCs/>
          <w:spacing w:val="-2"/>
        </w:rPr>
        <w:t xml:space="preserve"> 102 birim olarak gerçekleşmiştir.</w:t>
      </w:r>
    </w:p>
    <w:p w14:paraId="0B1383EC" w14:textId="27F3BF50" w:rsidR="00256365" w:rsidRPr="00256365" w:rsidRDefault="00256365" w:rsidP="00964ECE">
      <w:pPr>
        <w:numPr>
          <w:ilvl w:val="0"/>
          <w:numId w:val="46"/>
        </w:numPr>
        <w:tabs>
          <w:tab w:val="left" w:pos="360"/>
        </w:tabs>
        <w:spacing w:before="120" w:after="120" w:line="276" w:lineRule="auto"/>
        <w:jc w:val="both"/>
        <w:rPr>
          <w:b/>
          <w:bCs/>
          <w:spacing w:val="-2"/>
        </w:rPr>
      </w:pPr>
      <w:r w:rsidRPr="00256365">
        <w:rPr>
          <w:b/>
          <w:bCs/>
          <w:spacing w:val="-2"/>
        </w:rPr>
        <w:t xml:space="preserve">Yatırımları </w:t>
      </w:r>
      <w:r w:rsidR="00964ECE" w:rsidRPr="00256365">
        <w:rPr>
          <w:b/>
          <w:bCs/>
          <w:spacing w:val="-2"/>
        </w:rPr>
        <w:t>artırma yeteneği</w:t>
      </w:r>
    </w:p>
    <w:p w14:paraId="06B8B9BF" w14:textId="3CE9D313" w:rsidR="00256365" w:rsidRPr="00C54908" w:rsidRDefault="00256365" w:rsidP="00D314F8">
      <w:pPr>
        <w:tabs>
          <w:tab w:val="left" w:pos="360"/>
        </w:tabs>
        <w:spacing w:before="120" w:after="120"/>
        <w:jc w:val="both"/>
        <w:rPr>
          <w:bCs/>
          <w:spacing w:val="-2"/>
          <w:lang w:eastAsia="en-US"/>
        </w:rPr>
      </w:pPr>
      <w:r w:rsidRPr="00256365">
        <w:rPr>
          <w:bCs/>
          <w:spacing w:val="-2"/>
        </w:rPr>
        <w:t>(1) Yerli üretim dalının tevsi yatırım endeksi aynı dönemde sırasıyla 100 birim, 79 birim, 149 birim ve 333 birim olarak gerçekleşmiştir.</w:t>
      </w:r>
      <w:r w:rsidR="00C54908">
        <w:rPr>
          <w:bCs/>
          <w:spacing w:val="-2"/>
        </w:rPr>
        <w:t xml:space="preserve"> </w:t>
      </w:r>
      <w:r w:rsidR="00C54908" w:rsidRPr="00256365">
        <w:rPr>
          <w:bCs/>
          <w:spacing w:val="-2"/>
          <w:lang w:eastAsia="en-US"/>
        </w:rPr>
        <w:t xml:space="preserve">Yerli üretim dalının yenileme yatırım endeksi aynı dönemde sırasıyla 100 birim, 144 birim, 389 birim ve </w:t>
      </w:r>
      <w:r w:rsidR="00C54908">
        <w:rPr>
          <w:bCs/>
          <w:spacing w:val="-2"/>
          <w:lang w:eastAsia="en-US"/>
        </w:rPr>
        <w:t>51 birim olarak gerçekleşmiştir</w:t>
      </w:r>
      <w:r w:rsidR="00C54908" w:rsidRPr="00256365">
        <w:rPr>
          <w:bCs/>
          <w:color w:val="0D0D0D"/>
          <w:spacing w:val="-2"/>
        </w:rPr>
        <w:t>.</w:t>
      </w:r>
      <w:r w:rsidRPr="00C54908">
        <w:rPr>
          <w:bCs/>
          <w:spacing w:val="-2"/>
        </w:rPr>
        <w:tab/>
      </w:r>
    </w:p>
    <w:p w14:paraId="7F58CE9B" w14:textId="78E557F0" w:rsidR="00F50E6E" w:rsidRPr="00256365" w:rsidRDefault="00C54908" w:rsidP="001161E3">
      <w:pPr>
        <w:numPr>
          <w:ilvl w:val="0"/>
          <w:numId w:val="38"/>
        </w:numPr>
        <w:tabs>
          <w:tab w:val="left" w:pos="360"/>
        </w:tabs>
        <w:spacing w:before="120" w:after="120"/>
        <w:jc w:val="both"/>
        <w:rPr>
          <w:bCs/>
          <w:spacing w:val="-2"/>
          <w:lang w:eastAsia="en-US"/>
        </w:rPr>
      </w:pPr>
      <w:r w:rsidRPr="00C54908">
        <w:rPr>
          <w:bCs/>
          <w:spacing w:val="-2"/>
          <w:lang w:eastAsia="en-US"/>
        </w:rPr>
        <w:t xml:space="preserve">Yerli üretim dalının yatırımlarının geri dönüş oranı (dönem karı/öz sermaye) 2020 yılında 100 birim olarak kabul edildiğinde, 2021 yılında </w:t>
      </w:r>
      <w:r>
        <w:rPr>
          <w:bCs/>
          <w:spacing w:val="-2"/>
          <w:lang w:eastAsia="en-US"/>
        </w:rPr>
        <w:t>177</w:t>
      </w:r>
      <w:r w:rsidRPr="00C54908">
        <w:rPr>
          <w:bCs/>
          <w:spacing w:val="-2"/>
          <w:lang w:eastAsia="en-US"/>
        </w:rPr>
        <w:t xml:space="preserve"> birim, 2022 yılında </w:t>
      </w:r>
      <w:r>
        <w:rPr>
          <w:bCs/>
          <w:spacing w:val="-2"/>
          <w:lang w:eastAsia="en-US"/>
        </w:rPr>
        <w:t>141</w:t>
      </w:r>
      <w:r w:rsidRPr="00C54908">
        <w:rPr>
          <w:bCs/>
          <w:spacing w:val="-2"/>
          <w:lang w:eastAsia="en-US"/>
        </w:rPr>
        <w:t xml:space="preserve"> birim, </w:t>
      </w:r>
      <w:proofErr w:type="spellStart"/>
      <w:r w:rsidRPr="00C54908">
        <w:rPr>
          <w:bCs/>
          <w:spacing w:val="-2"/>
          <w:lang w:eastAsia="en-US"/>
        </w:rPr>
        <w:t>SD’de</w:t>
      </w:r>
      <w:proofErr w:type="spellEnd"/>
      <w:r w:rsidRPr="00C54908">
        <w:rPr>
          <w:bCs/>
          <w:spacing w:val="-2"/>
          <w:lang w:eastAsia="en-US"/>
        </w:rPr>
        <w:t xml:space="preserve"> ise </w:t>
      </w:r>
      <w:r>
        <w:rPr>
          <w:bCs/>
          <w:spacing w:val="-2"/>
          <w:lang w:eastAsia="en-US"/>
        </w:rPr>
        <w:t>101</w:t>
      </w:r>
      <w:r w:rsidRPr="00C54908">
        <w:rPr>
          <w:bCs/>
          <w:spacing w:val="-2"/>
          <w:lang w:eastAsia="en-US"/>
        </w:rPr>
        <w:t xml:space="preserve"> birim seviyelerin</w:t>
      </w:r>
      <w:r>
        <w:rPr>
          <w:bCs/>
          <w:spacing w:val="-2"/>
          <w:lang w:eastAsia="en-US"/>
        </w:rPr>
        <w:t>de gerçekleşmiştir.</w:t>
      </w:r>
    </w:p>
    <w:bookmarkEnd w:id="97"/>
    <w:p w14:paraId="1E700092" w14:textId="140512F3" w:rsidR="00A215D1" w:rsidRDefault="00A215D1" w:rsidP="001161E3">
      <w:pPr>
        <w:pStyle w:val="Balk2"/>
        <w:spacing w:before="120" w:after="120"/>
        <w:rPr>
          <w:szCs w:val="24"/>
        </w:rPr>
      </w:pPr>
      <w:r w:rsidRPr="0055784D">
        <w:rPr>
          <w:szCs w:val="24"/>
        </w:rPr>
        <w:t xml:space="preserve">4.8. </w:t>
      </w:r>
      <w:r w:rsidR="00D314F8">
        <w:rPr>
          <w:szCs w:val="24"/>
        </w:rPr>
        <w:t>Yerli üretim dalının ekonomik göstergelerinin değerlendirilmesi</w:t>
      </w:r>
    </w:p>
    <w:p w14:paraId="227F31E6" w14:textId="77777777" w:rsidR="005C6D40" w:rsidRPr="005C6D40" w:rsidRDefault="005C6D40" w:rsidP="005C6D40">
      <w:pPr>
        <w:numPr>
          <w:ilvl w:val="0"/>
          <w:numId w:val="41"/>
        </w:numPr>
        <w:tabs>
          <w:tab w:val="left" w:pos="426"/>
        </w:tabs>
        <w:spacing w:before="120" w:after="120"/>
        <w:jc w:val="both"/>
      </w:pPr>
      <w:bookmarkStart w:id="99" w:name="_Toc157613492"/>
      <w:bookmarkStart w:id="100" w:name="_Toc98149767"/>
      <w:bookmarkEnd w:id="98"/>
      <w:r w:rsidRPr="005C6D40">
        <w:t>Yerli üretim dalının ekonomik göstergeleri incelendiğinde üretim, satışlar, kapasite kullanım oranı, verimlilik gibi göstergelerinde önlemin de etkisiyle olumlu bir eğilim olduğu değerlendirilmektedir.</w:t>
      </w:r>
    </w:p>
    <w:p w14:paraId="04A9FE67" w14:textId="77777777" w:rsidR="005C6D40" w:rsidRPr="007C588C" w:rsidRDefault="005C6D40" w:rsidP="005C6D40">
      <w:pPr>
        <w:numPr>
          <w:ilvl w:val="0"/>
          <w:numId w:val="41"/>
        </w:numPr>
        <w:tabs>
          <w:tab w:val="left" w:pos="426"/>
        </w:tabs>
        <w:spacing w:before="120" w:after="120"/>
        <w:jc w:val="both"/>
        <w:outlineLvl w:val="1"/>
        <w:rPr>
          <w:b/>
        </w:rPr>
      </w:pPr>
      <w:bookmarkStart w:id="101" w:name="_Toc188521974"/>
      <w:r w:rsidRPr="005C6D40">
        <w:t>Öte yandan, incelenen dönemde yerli üretim dalının yurt içi ve yurt dışı satışlardan ürün kârının, ürün nakit akışının, firma net satış toplamının, kapasite miktarının ve stok çevrim hızının düştüğü</w:t>
      </w:r>
      <w:r w:rsidRPr="007C588C">
        <w:t>, bununla birlikte dönem sonu stoklarının arttığı gözlemlenmektedir.</w:t>
      </w:r>
      <w:bookmarkEnd w:id="101"/>
      <w:r w:rsidRPr="007C588C">
        <w:t xml:space="preserve"> </w:t>
      </w:r>
    </w:p>
    <w:p w14:paraId="6A013FB0" w14:textId="1AEB9207" w:rsidR="00BA139D" w:rsidRPr="0055784D" w:rsidRDefault="005C6D40" w:rsidP="004B4889">
      <w:pPr>
        <w:pStyle w:val="ListeParagraf"/>
        <w:keepNext/>
        <w:keepLines/>
        <w:numPr>
          <w:ilvl w:val="1"/>
          <w:numId w:val="12"/>
        </w:numPr>
        <w:spacing w:before="120" w:after="120"/>
        <w:outlineLvl w:val="1"/>
        <w:rPr>
          <w:rFonts w:eastAsiaTheme="majorEastAsia" w:cstheme="majorBidi"/>
          <w:b/>
        </w:rPr>
      </w:pPr>
      <w:r>
        <w:rPr>
          <w:rFonts w:eastAsiaTheme="majorEastAsia" w:cstheme="majorBidi"/>
          <w:b/>
        </w:rPr>
        <w:lastRenderedPageBreak/>
        <w:t xml:space="preserve"> </w:t>
      </w:r>
      <w:r w:rsidR="00BA139D" w:rsidRPr="0055784D">
        <w:rPr>
          <w:rFonts w:eastAsiaTheme="majorEastAsia" w:cstheme="majorBidi"/>
          <w:b/>
        </w:rPr>
        <w:t xml:space="preserve">Zararın </w:t>
      </w:r>
      <w:r w:rsidR="00D314F8" w:rsidRPr="0055784D">
        <w:rPr>
          <w:rFonts w:eastAsiaTheme="majorEastAsia" w:cstheme="majorBidi"/>
          <w:b/>
        </w:rPr>
        <w:t>devamı veya yeniden meydana gelmesi ihtimali</w:t>
      </w:r>
      <w:bookmarkEnd w:id="99"/>
      <w:r w:rsidR="00D314F8" w:rsidRPr="0055784D">
        <w:rPr>
          <w:rFonts w:eastAsiaTheme="majorEastAsia" w:cstheme="majorBidi"/>
          <w:b/>
        </w:rPr>
        <w:t>ne ilişkin değerlendirme</w:t>
      </w:r>
    </w:p>
    <w:p w14:paraId="02CBB129" w14:textId="77777777" w:rsidR="005C6D40" w:rsidRPr="005C6D40" w:rsidRDefault="005C6D40" w:rsidP="005C6D40">
      <w:pPr>
        <w:numPr>
          <w:ilvl w:val="0"/>
          <w:numId w:val="42"/>
        </w:numPr>
        <w:spacing w:before="120" w:after="120"/>
        <w:ind w:left="0" w:firstLine="0"/>
        <w:jc w:val="both"/>
        <w:rPr>
          <w:lang w:eastAsia="en-US"/>
        </w:rPr>
      </w:pPr>
      <w:bookmarkStart w:id="102" w:name="_Toc148627867"/>
      <w:bookmarkEnd w:id="100"/>
      <w:r w:rsidRPr="005C6D40">
        <w:rPr>
          <w:lang w:eastAsia="en-US"/>
        </w:rPr>
        <w:t>Zararın devam etmesi veya yeniden meydana gelmesi ihtimaline ilişkin yukarıdaki bilgiler çerçevesinde,</w:t>
      </w:r>
    </w:p>
    <w:p w14:paraId="5B5831BB" w14:textId="77777777" w:rsidR="005C6D40" w:rsidRPr="005C6D40" w:rsidRDefault="005C6D40" w:rsidP="005C6D40">
      <w:pPr>
        <w:numPr>
          <w:ilvl w:val="0"/>
          <w:numId w:val="43"/>
        </w:numPr>
        <w:spacing w:before="120" w:after="120"/>
        <w:jc w:val="both"/>
        <w:rPr>
          <w:lang w:eastAsia="en-US"/>
        </w:rPr>
      </w:pPr>
      <w:r w:rsidRPr="005C6D40">
        <w:rPr>
          <w:lang w:eastAsia="en-US"/>
        </w:rPr>
        <w:t xml:space="preserve">Mevcut önleme rağmen </w:t>
      </w:r>
      <w:r w:rsidRPr="005C6D40">
        <w:t xml:space="preserve">2020-2022 yılların arasında </w:t>
      </w:r>
      <w:r w:rsidRPr="005C6D40">
        <w:rPr>
          <w:lang w:eastAsia="en-US"/>
        </w:rPr>
        <w:t>ÇHC menşeli ithalatın ve söz konusu ithalatın Türkiye tüketiminden aldığı pazar payının arttığı görülmüştür.</w:t>
      </w:r>
    </w:p>
    <w:p w14:paraId="6178C9D8" w14:textId="77777777" w:rsidR="005C6D40" w:rsidRPr="005C6D40" w:rsidRDefault="005C6D40" w:rsidP="005C6D40">
      <w:pPr>
        <w:numPr>
          <w:ilvl w:val="0"/>
          <w:numId w:val="43"/>
        </w:numPr>
        <w:spacing w:before="120" w:after="120"/>
        <w:jc w:val="both"/>
        <w:rPr>
          <w:lang w:eastAsia="en-US"/>
        </w:rPr>
      </w:pPr>
      <w:r w:rsidRPr="005C6D40">
        <w:rPr>
          <w:lang w:eastAsia="en-US"/>
        </w:rPr>
        <w:t xml:space="preserve">ÇHC menşeli ithalatın yerli üretim dalının yurt içi satış fiyatlarını soruşturma döneminde kırdığı ve baskıladığı tespit edilmiştir. </w:t>
      </w:r>
    </w:p>
    <w:p w14:paraId="71E45E6C" w14:textId="77777777" w:rsidR="005C6D40" w:rsidRPr="005C6D40" w:rsidRDefault="005C6D40" w:rsidP="005C6D40">
      <w:pPr>
        <w:numPr>
          <w:ilvl w:val="0"/>
          <w:numId w:val="43"/>
        </w:numPr>
        <w:spacing w:before="120" w:after="120"/>
        <w:jc w:val="both"/>
        <w:rPr>
          <w:lang w:eastAsia="en-US"/>
        </w:rPr>
      </w:pPr>
      <w:r w:rsidRPr="005C6D40">
        <w:rPr>
          <w:lang w:eastAsia="en-US"/>
        </w:rPr>
        <w:t xml:space="preserve">Önlemin varlığına rağmen yerli üretim dalının bazı ekonomik göstergelerinde bozulmalar görülmektedir. </w:t>
      </w:r>
    </w:p>
    <w:p w14:paraId="61075835" w14:textId="77777777" w:rsidR="005C6D40" w:rsidRPr="005C6D40" w:rsidRDefault="005C6D40" w:rsidP="005C6D40">
      <w:pPr>
        <w:numPr>
          <w:ilvl w:val="0"/>
          <w:numId w:val="42"/>
        </w:numPr>
        <w:spacing w:before="120" w:after="120"/>
        <w:ind w:left="0" w:firstLine="0"/>
        <w:jc w:val="both"/>
        <w:rPr>
          <w:lang w:eastAsia="en-US"/>
        </w:rPr>
      </w:pPr>
      <w:r w:rsidRPr="005C6D40">
        <w:rPr>
          <w:lang w:eastAsia="en-US"/>
        </w:rPr>
        <w:t>Tüm bu hususlar birlikte dikkate alındığında, zararın devam etmesinin veya yeniden meydana gelmesinin muhtemel olduğu düşünülmektedir.</w:t>
      </w:r>
    </w:p>
    <w:p w14:paraId="179C62BF" w14:textId="2149F8C5" w:rsidR="0040442A" w:rsidRPr="0055784D" w:rsidRDefault="0040442A" w:rsidP="004B4889">
      <w:pPr>
        <w:pStyle w:val="Balk1"/>
        <w:numPr>
          <w:ilvl w:val="0"/>
          <w:numId w:val="12"/>
        </w:numPr>
        <w:spacing w:before="120" w:after="120"/>
        <w:jc w:val="both"/>
        <w:rPr>
          <w:rFonts w:ascii="Times New Roman" w:hAnsi="Times New Roman" w:cs="Times New Roman"/>
          <w:color w:val="000000" w:themeColor="text1"/>
          <w:sz w:val="24"/>
          <w:szCs w:val="24"/>
        </w:rPr>
      </w:pPr>
      <w:r w:rsidRPr="0055784D">
        <w:rPr>
          <w:rFonts w:ascii="Times New Roman" w:hAnsi="Times New Roman" w:cs="Times New Roman"/>
          <w:color w:val="000000" w:themeColor="text1"/>
          <w:sz w:val="24"/>
          <w:szCs w:val="24"/>
        </w:rPr>
        <w:t>SONUÇ</w:t>
      </w:r>
      <w:bookmarkEnd w:id="102"/>
    </w:p>
    <w:p w14:paraId="37F7C8BE" w14:textId="77777777" w:rsidR="00A27165" w:rsidRPr="0055784D" w:rsidRDefault="00A27165" w:rsidP="000C7288">
      <w:pPr>
        <w:pStyle w:val="Default"/>
        <w:spacing w:before="120" w:after="120"/>
        <w:jc w:val="both"/>
        <w:rPr>
          <w:color w:val="auto"/>
        </w:rPr>
      </w:pPr>
      <w:r w:rsidRPr="0055784D">
        <w:rPr>
          <w:color w:val="auto"/>
        </w:rPr>
        <w:t>(1) Yürütülen soruşturma esnasında elde edilen bilgi ve bulgular çerçevesinde, önlemin ortadan kalkması durumunda dampingin ve zararın devam etmesinin veya yeniden me</w:t>
      </w:r>
      <w:r w:rsidR="006462EC" w:rsidRPr="0055784D">
        <w:rPr>
          <w:color w:val="auto"/>
        </w:rPr>
        <w:t>ydana gelmesinin muhtemel ol</w:t>
      </w:r>
      <w:r w:rsidR="000A4AFA" w:rsidRPr="0055784D">
        <w:rPr>
          <w:color w:val="auto"/>
        </w:rPr>
        <w:t>duğu</w:t>
      </w:r>
      <w:r w:rsidRPr="0055784D">
        <w:rPr>
          <w:color w:val="auto"/>
        </w:rPr>
        <w:t xml:space="preserve"> değerlendirilmiştir.</w:t>
      </w:r>
    </w:p>
    <w:p w14:paraId="26C81584" w14:textId="04E7F7A2" w:rsidR="00210E2D" w:rsidRPr="00027269" w:rsidRDefault="00A27165" w:rsidP="0074657D">
      <w:pPr>
        <w:spacing w:before="120" w:after="120"/>
        <w:jc w:val="both"/>
      </w:pPr>
      <w:r w:rsidRPr="00027269">
        <w:t>(</w:t>
      </w:r>
      <w:r w:rsidRPr="00027269">
        <w:rPr>
          <w:bCs/>
          <w:color w:val="0D0D0D" w:themeColor="text1" w:themeTint="F2"/>
          <w:lang w:eastAsia="en-US"/>
        </w:rPr>
        <w:t xml:space="preserve">2) </w:t>
      </w:r>
      <w:r w:rsidRPr="00027269">
        <w:t>Bu çerçevede</w:t>
      </w:r>
      <w:r w:rsidR="00A836B6" w:rsidRPr="00027269">
        <w:t>,</w:t>
      </w:r>
      <w:r w:rsidRPr="00027269">
        <w:t xml:space="preserve"> </w:t>
      </w:r>
      <w:r w:rsidR="00A836B6" w:rsidRPr="00027269">
        <w:t>soruşturma neticesinde ulaşılan tespitleri değerlendiren Kurulun kararı ile</w:t>
      </w:r>
      <w:r w:rsidR="00D314F8">
        <w:t xml:space="preserve"> </w:t>
      </w:r>
      <w:r w:rsidR="00A836B6" w:rsidRPr="00027269">
        <w:t>İthalatta Haksız Rekabetin Önlenmesine</w:t>
      </w:r>
      <w:r w:rsidR="0012194D" w:rsidRPr="00027269">
        <w:t xml:space="preserve"> İlişkin Tebliğ (Tebliğ No: 201</w:t>
      </w:r>
      <w:r w:rsidR="005C6D40">
        <w:t>9</w:t>
      </w:r>
      <w:r w:rsidR="00A836B6" w:rsidRPr="00027269">
        <w:t>/</w:t>
      </w:r>
      <w:r w:rsidR="005C6D40">
        <w:t>4</w:t>
      </w:r>
      <w:r w:rsidR="00A836B6" w:rsidRPr="00027269">
        <w:t xml:space="preserve">) ile yürürlükte olan dampinge karşı önlemin, Yönetmeliğin </w:t>
      </w:r>
      <w:proofErr w:type="gramStart"/>
      <w:r w:rsidR="00A836B6" w:rsidRPr="00027269">
        <w:t xml:space="preserve">42 </w:t>
      </w:r>
      <w:proofErr w:type="spellStart"/>
      <w:r w:rsidR="00A836B6" w:rsidRPr="00027269">
        <w:t>nci</w:t>
      </w:r>
      <w:proofErr w:type="spellEnd"/>
      <w:proofErr w:type="gramEnd"/>
      <w:r w:rsidR="00A836B6" w:rsidRPr="00027269">
        <w:t xml:space="preserve"> maddesi çerçevesinde aşağıdaki tabloda gösterilen biçimde</w:t>
      </w:r>
      <w:r w:rsidR="005569A5" w:rsidRPr="00027269">
        <w:t xml:space="preserve"> </w:t>
      </w:r>
      <w:r w:rsidR="00A836B6" w:rsidRPr="00027269">
        <w:t>uygulanmaya devam edilmesine karar verilmiştir.</w:t>
      </w:r>
    </w:p>
    <w:tbl>
      <w:tblPr>
        <w:tblpPr w:leftFromText="141" w:rightFromText="141" w:vertAnchor="text" w:horzAnchor="margin" w:tblpY="35"/>
        <w:tblW w:w="9092" w:type="dxa"/>
        <w:tblCellMar>
          <w:left w:w="70" w:type="dxa"/>
          <w:right w:w="70" w:type="dxa"/>
        </w:tblCellMar>
        <w:tblLook w:val="04A0" w:firstRow="1" w:lastRow="0" w:firstColumn="1" w:lastColumn="0" w:noHBand="0" w:noVBand="1"/>
      </w:tblPr>
      <w:tblGrid>
        <w:gridCol w:w="916"/>
        <w:gridCol w:w="5114"/>
        <w:gridCol w:w="1339"/>
        <w:gridCol w:w="1723"/>
      </w:tblGrid>
      <w:tr w:rsidR="005C6D40" w:rsidRPr="005C6D40" w14:paraId="0F672A6D" w14:textId="77777777" w:rsidTr="00D314F8">
        <w:trPr>
          <w:trHeight w:val="983"/>
        </w:trPr>
        <w:tc>
          <w:tcPr>
            <w:tcW w:w="9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F76B6B" w14:textId="77777777" w:rsidR="005C6D40" w:rsidRPr="00D314F8" w:rsidRDefault="005C6D40" w:rsidP="005C6D40">
            <w:pPr>
              <w:jc w:val="center"/>
              <w:rPr>
                <w:b/>
                <w:bCs/>
                <w:color w:val="000000"/>
                <w:sz w:val="22"/>
                <w:szCs w:val="22"/>
              </w:rPr>
            </w:pPr>
            <w:r w:rsidRPr="00D314F8">
              <w:rPr>
                <w:b/>
                <w:bCs/>
                <w:color w:val="000000"/>
                <w:sz w:val="22"/>
                <w:szCs w:val="22"/>
              </w:rPr>
              <w:t>GTP</w:t>
            </w:r>
          </w:p>
        </w:tc>
        <w:tc>
          <w:tcPr>
            <w:tcW w:w="5240" w:type="dxa"/>
            <w:tcBorders>
              <w:top w:val="single" w:sz="4" w:space="0" w:color="auto"/>
              <w:left w:val="nil"/>
              <w:bottom w:val="single" w:sz="4" w:space="0" w:color="auto"/>
              <w:right w:val="single" w:sz="4" w:space="0" w:color="auto"/>
            </w:tcBorders>
            <w:shd w:val="clear" w:color="auto" w:fill="auto"/>
            <w:vAlign w:val="center"/>
            <w:hideMark/>
          </w:tcPr>
          <w:p w14:paraId="39E0A670" w14:textId="15DC24BD" w:rsidR="005C6D40" w:rsidRPr="00D314F8" w:rsidRDefault="005C6D40" w:rsidP="005C6D40">
            <w:pPr>
              <w:jc w:val="center"/>
              <w:rPr>
                <w:b/>
                <w:bCs/>
                <w:color w:val="000000"/>
                <w:sz w:val="22"/>
                <w:szCs w:val="22"/>
              </w:rPr>
            </w:pPr>
            <w:r w:rsidRPr="00D314F8">
              <w:rPr>
                <w:b/>
                <w:bCs/>
                <w:color w:val="000000"/>
                <w:sz w:val="22"/>
                <w:szCs w:val="22"/>
              </w:rPr>
              <w:t>Eşya Tanımı</w:t>
            </w:r>
          </w:p>
        </w:tc>
        <w:tc>
          <w:tcPr>
            <w:tcW w:w="1342" w:type="dxa"/>
            <w:tcBorders>
              <w:top w:val="single" w:sz="4" w:space="0" w:color="auto"/>
              <w:left w:val="nil"/>
              <w:bottom w:val="single" w:sz="4" w:space="0" w:color="auto"/>
              <w:right w:val="single" w:sz="4" w:space="0" w:color="auto"/>
            </w:tcBorders>
            <w:shd w:val="clear" w:color="auto" w:fill="auto"/>
            <w:vAlign w:val="center"/>
            <w:hideMark/>
          </w:tcPr>
          <w:p w14:paraId="7A5DE3DC" w14:textId="77777777" w:rsidR="005C6D40" w:rsidRPr="00D314F8" w:rsidRDefault="005C6D40" w:rsidP="005C6D40">
            <w:pPr>
              <w:jc w:val="center"/>
              <w:rPr>
                <w:b/>
                <w:bCs/>
                <w:color w:val="000000"/>
                <w:sz w:val="22"/>
                <w:szCs w:val="22"/>
              </w:rPr>
            </w:pPr>
            <w:r w:rsidRPr="00D314F8">
              <w:rPr>
                <w:b/>
                <w:bCs/>
                <w:color w:val="000000"/>
                <w:sz w:val="22"/>
                <w:szCs w:val="22"/>
              </w:rPr>
              <w:t>Menşe Ülke</w:t>
            </w:r>
          </w:p>
        </w:tc>
        <w:tc>
          <w:tcPr>
            <w:tcW w:w="1591" w:type="dxa"/>
            <w:tcBorders>
              <w:top w:val="single" w:sz="4" w:space="0" w:color="auto"/>
              <w:left w:val="nil"/>
              <w:bottom w:val="single" w:sz="4" w:space="0" w:color="auto"/>
              <w:right w:val="single" w:sz="4" w:space="0" w:color="auto"/>
            </w:tcBorders>
            <w:shd w:val="clear" w:color="auto" w:fill="auto"/>
            <w:vAlign w:val="center"/>
            <w:hideMark/>
          </w:tcPr>
          <w:p w14:paraId="7EFB7291" w14:textId="37558711" w:rsidR="005C6D40" w:rsidRPr="00D314F8" w:rsidRDefault="005C6D40" w:rsidP="005C6D40">
            <w:pPr>
              <w:jc w:val="center"/>
              <w:rPr>
                <w:b/>
                <w:bCs/>
                <w:color w:val="000000"/>
                <w:sz w:val="22"/>
                <w:szCs w:val="22"/>
              </w:rPr>
            </w:pPr>
            <w:r w:rsidRPr="00D314F8">
              <w:rPr>
                <w:b/>
                <w:bCs/>
                <w:color w:val="000000"/>
                <w:sz w:val="22"/>
                <w:szCs w:val="22"/>
              </w:rPr>
              <w:t xml:space="preserve">Dampinge </w:t>
            </w:r>
            <w:r w:rsidR="00D314F8" w:rsidRPr="00D314F8">
              <w:rPr>
                <w:b/>
                <w:bCs/>
                <w:color w:val="000000"/>
                <w:sz w:val="22"/>
                <w:szCs w:val="22"/>
              </w:rPr>
              <w:t>Karşı Önlem</w:t>
            </w:r>
            <w:r w:rsidRPr="00D314F8">
              <w:rPr>
                <w:b/>
                <w:bCs/>
                <w:color w:val="000000"/>
                <w:sz w:val="22"/>
                <w:szCs w:val="22"/>
              </w:rPr>
              <w:t xml:space="preserve"> (CIF </w:t>
            </w:r>
            <w:r w:rsidR="00D314F8" w:rsidRPr="00D314F8">
              <w:rPr>
                <w:b/>
                <w:bCs/>
                <w:color w:val="000000"/>
                <w:sz w:val="22"/>
                <w:szCs w:val="22"/>
              </w:rPr>
              <w:t>B</w:t>
            </w:r>
            <w:r w:rsidRPr="00D314F8">
              <w:rPr>
                <w:b/>
                <w:bCs/>
                <w:color w:val="000000"/>
                <w:sz w:val="22"/>
                <w:szCs w:val="22"/>
              </w:rPr>
              <w:t>edelin </w:t>
            </w:r>
            <w:r w:rsidR="00D314F8" w:rsidRPr="00D314F8">
              <w:rPr>
                <w:b/>
                <w:bCs/>
                <w:color w:val="000000"/>
                <w:sz w:val="22"/>
                <w:szCs w:val="22"/>
              </w:rPr>
              <w:t>Yüzdesi</w:t>
            </w:r>
            <w:r w:rsidRPr="00D314F8">
              <w:rPr>
                <w:b/>
                <w:bCs/>
                <w:color w:val="000000"/>
                <w:sz w:val="22"/>
                <w:szCs w:val="22"/>
              </w:rPr>
              <w:t>)</w:t>
            </w:r>
          </w:p>
        </w:tc>
      </w:tr>
      <w:tr w:rsidR="005C6D40" w:rsidRPr="005C6D40" w14:paraId="050C83C1" w14:textId="77777777" w:rsidTr="005C6D40">
        <w:trPr>
          <w:trHeight w:val="1189"/>
        </w:trPr>
        <w:tc>
          <w:tcPr>
            <w:tcW w:w="919" w:type="dxa"/>
            <w:tcBorders>
              <w:top w:val="nil"/>
              <w:left w:val="single" w:sz="4" w:space="0" w:color="auto"/>
              <w:bottom w:val="single" w:sz="4" w:space="0" w:color="auto"/>
              <w:right w:val="single" w:sz="4" w:space="0" w:color="auto"/>
            </w:tcBorders>
            <w:shd w:val="clear" w:color="auto" w:fill="auto"/>
            <w:vAlign w:val="center"/>
            <w:hideMark/>
          </w:tcPr>
          <w:p w14:paraId="03D353EB" w14:textId="77777777" w:rsidR="005C6D40" w:rsidRPr="00D314F8" w:rsidRDefault="005C6D40" w:rsidP="005C6D40">
            <w:pPr>
              <w:jc w:val="center"/>
              <w:rPr>
                <w:color w:val="000000"/>
                <w:sz w:val="22"/>
                <w:szCs w:val="22"/>
              </w:rPr>
            </w:pPr>
            <w:r w:rsidRPr="00D314F8">
              <w:rPr>
                <w:bCs/>
                <w:color w:val="000000"/>
                <w:sz w:val="22"/>
                <w:szCs w:val="22"/>
              </w:rPr>
              <w:t>55.13   </w:t>
            </w:r>
          </w:p>
        </w:tc>
        <w:tc>
          <w:tcPr>
            <w:tcW w:w="5240" w:type="dxa"/>
            <w:tcBorders>
              <w:top w:val="nil"/>
              <w:left w:val="nil"/>
              <w:bottom w:val="single" w:sz="4" w:space="0" w:color="auto"/>
              <w:right w:val="single" w:sz="4" w:space="0" w:color="auto"/>
            </w:tcBorders>
            <w:shd w:val="clear" w:color="auto" w:fill="auto"/>
            <w:vAlign w:val="center"/>
            <w:hideMark/>
          </w:tcPr>
          <w:p w14:paraId="5D471A50" w14:textId="77777777" w:rsidR="005C6D40" w:rsidRPr="00D314F8" w:rsidRDefault="005C6D40" w:rsidP="005C6D40">
            <w:pPr>
              <w:rPr>
                <w:color w:val="000000"/>
                <w:sz w:val="22"/>
                <w:szCs w:val="22"/>
              </w:rPr>
            </w:pPr>
            <w:r w:rsidRPr="00D314F8">
              <w:rPr>
                <w:bCs/>
                <w:color w:val="000000"/>
                <w:sz w:val="22"/>
                <w:szCs w:val="22"/>
              </w:rPr>
              <w:t xml:space="preserve"> Sentetik devamsız liflerden dokunmuş mensucat (ağırlık itibariyle %85’ten az, m2 ağırlığı 170 </w:t>
            </w:r>
            <w:proofErr w:type="gramStart"/>
            <w:r w:rsidRPr="00D314F8">
              <w:rPr>
                <w:bCs/>
                <w:color w:val="000000"/>
                <w:sz w:val="22"/>
                <w:szCs w:val="22"/>
              </w:rPr>
              <w:t>gr.ı</w:t>
            </w:r>
            <w:proofErr w:type="gramEnd"/>
            <w:r w:rsidRPr="00D314F8">
              <w:rPr>
                <w:bCs/>
                <w:color w:val="000000"/>
                <w:sz w:val="22"/>
                <w:szCs w:val="22"/>
              </w:rPr>
              <w:t xml:space="preserve"> geçmeyen esas itibariyle veya sadece pamukla karışık sentetik devamsız lif içerenler)</w:t>
            </w:r>
          </w:p>
        </w:tc>
        <w:tc>
          <w:tcPr>
            <w:tcW w:w="1342" w:type="dxa"/>
            <w:vMerge w:val="restart"/>
            <w:tcBorders>
              <w:top w:val="nil"/>
              <w:left w:val="single" w:sz="4" w:space="0" w:color="auto"/>
              <w:bottom w:val="single" w:sz="4" w:space="0" w:color="auto"/>
              <w:right w:val="single" w:sz="4" w:space="0" w:color="auto"/>
            </w:tcBorders>
            <w:shd w:val="clear" w:color="auto" w:fill="auto"/>
            <w:vAlign w:val="center"/>
            <w:hideMark/>
          </w:tcPr>
          <w:p w14:paraId="0BC954E5" w14:textId="77777777" w:rsidR="005C6D40" w:rsidRPr="00D314F8" w:rsidRDefault="005C6D40" w:rsidP="005C6D40">
            <w:pPr>
              <w:jc w:val="center"/>
              <w:rPr>
                <w:color w:val="000000"/>
                <w:sz w:val="22"/>
                <w:szCs w:val="22"/>
              </w:rPr>
            </w:pPr>
            <w:r w:rsidRPr="00D314F8">
              <w:rPr>
                <w:bCs/>
                <w:color w:val="000000"/>
                <w:sz w:val="22"/>
                <w:szCs w:val="22"/>
              </w:rPr>
              <w:t>Çin Halk Cumhuriyeti</w:t>
            </w:r>
          </w:p>
        </w:tc>
        <w:tc>
          <w:tcPr>
            <w:tcW w:w="1591" w:type="dxa"/>
            <w:vMerge w:val="restart"/>
            <w:tcBorders>
              <w:top w:val="nil"/>
              <w:left w:val="single" w:sz="4" w:space="0" w:color="auto"/>
              <w:bottom w:val="single" w:sz="4" w:space="0" w:color="000000"/>
              <w:right w:val="single" w:sz="4" w:space="0" w:color="auto"/>
            </w:tcBorders>
            <w:shd w:val="clear" w:color="auto" w:fill="auto"/>
            <w:vAlign w:val="center"/>
            <w:hideMark/>
          </w:tcPr>
          <w:p w14:paraId="45CA82E6" w14:textId="46AE89DB" w:rsidR="005C6D40" w:rsidRPr="00D314F8" w:rsidRDefault="005C6D40" w:rsidP="005C6D40">
            <w:pPr>
              <w:jc w:val="center"/>
              <w:rPr>
                <w:color w:val="000000"/>
                <w:sz w:val="22"/>
                <w:szCs w:val="22"/>
              </w:rPr>
            </w:pPr>
            <w:r w:rsidRPr="00D314F8">
              <w:rPr>
                <w:bCs/>
                <w:color w:val="000000"/>
                <w:sz w:val="22"/>
                <w:szCs w:val="22"/>
              </w:rPr>
              <w:t>44</w:t>
            </w:r>
          </w:p>
        </w:tc>
      </w:tr>
      <w:tr w:rsidR="005C6D40" w:rsidRPr="005C6D40" w14:paraId="4B3E850D" w14:textId="77777777" w:rsidTr="005C6D40">
        <w:trPr>
          <w:trHeight w:val="1189"/>
        </w:trPr>
        <w:tc>
          <w:tcPr>
            <w:tcW w:w="919" w:type="dxa"/>
            <w:tcBorders>
              <w:top w:val="nil"/>
              <w:left w:val="single" w:sz="4" w:space="0" w:color="auto"/>
              <w:bottom w:val="single" w:sz="4" w:space="0" w:color="auto"/>
              <w:right w:val="single" w:sz="4" w:space="0" w:color="auto"/>
            </w:tcBorders>
            <w:shd w:val="clear" w:color="auto" w:fill="auto"/>
            <w:vAlign w:val="center"/>
            <w:hideMark/>
          </w:tcPr>
          <w:p w14:paraId="4C27408E" w14:textId="77777777" w:rsidR="005C6D40" w:rsidRPr="00D314F8" w:rsidRDefault="005C6D40" w:rsidP="005C6D40">
            <w:pPr>
              <w:jc w:val="center"/>
              <w:rPr>
                <w:color w:val="000000"/>
                <w:sz w:val="22"/>
                <w:szCs w:val="22"/>
              </w:rPr>
            </w:pPr>
            <w:r w:rsidRPr="00D314F8">
              <w:rPr>
                <w:bCs/>
                <w:color w:val="000000"/>
                <w:sz w:val="22"/>
                <w:szCs w:val="22"/>
              </w:rPr>
              <w:t>55.14</w:t>
            </w:r>
          </w:p>
        </w:tc>
        <w:tc>
          <w:tcPr>
            <w:tcW w:w="5240" w:type="dxa"/>
            <w:tcBorders>
              <w:top w:val="nil"/>
              <w:left w:val="nil"/>
              <w:bottom w:val="single" w:sz="4" w:space="0" w:color="auto"/>
              <w:right w:val="single" w:sz="4" w:space="0" w:color="auto"/>
            </w:tcBorders>
            <w:shd w:val="clear" w:color="auto" w:fill="auto"/>
            <w:vAlign w:val="center"/>
            <w:hideMark/>
          </w:tcPr>
          <w:p w14:paraId="18E45F54" w14:textId="77777777" w:rsidR="005C6D40" w:rsidRPr="00D314F8" w:rsidRDefault="005C6D40" w:rsidP="005C6D40">
            <w:pPr>
              <w:rPr>
                <w:color w:val="000000"/>
                <w:sz w:val="22"/>
                <w:szCs w:val="22"/>
              </w:rPr>
            </w:pPr>
            <w:r w:rsidRPr="00D314F8">
              <w:rPr>
                <w:bCs/>
                <w:color w:val="000000"/>
                <w:sz w:val="22"/>
                <w:szCs w:val="22"/>
              </w:rPr>
              <w:t xml:space="preserve">Sentetik devamsız liflerden dokunmuş mensucat (ağırlık itibariyle %85’ten az, m2 ağırlığı 170 </w:t>
            </w:r>
            <w:proofErr w:type="gramStart"/>
            <w:r w:rsidRPr="00D314F8">
              <w:rPr>
                <w:bCs/>
                <w:color w:val="000000"/>
                <w:sz w:val="22"/>
                <w:szCs w:val="22"/>
              </w:rPr>
              <w:t>gr.ı</w:t>
            </w:r>
            <w:proofErr w:type="gramEnd"/>
            <w:r w:rsidRPr="00D314F8">
              <w:rPr>
                <w:bCs/>
                <w:color w:val="000000"/>
                <w:sz w:val="22"/>
                <w:szCs w:val="22"/>
              </w:rPr>
              <w:t xml:space="preserve"> geçen esas itibariyle veya sadece pamukla karışık sentetik devamsız lif içerenler)</w:t>
            </w:r>
          </w:p>
        </w:tc>
        <w:tc>
          <w:tcPr>
            <w:tcW w:w="1342" w:type="dxa"/>
            <w:vMerge/>
            <w:tcBorders>
              <w:top w:val="nil"/>
              <w:left w:val="single" w:sz="4" w:space="0" w:color="auto"/>
              <w:bottom w:val="single" w:sz="4" w:space="0" w:color="auto"/>
              <w:right w:val="single" w:sz="4" w:space="0" w:color="auto"/>
            </w:tcBorders>
            <w:vAlign w:val="center"/>
            <w:hideMark/>
          </w:tcPr>
          <w:p w14:paraId="0C29E7E5" w14:textId="77777777" w:rsidR="005C6D40" w:rsidRPr="005C6D40" w:rsidRDefault="005C6D40" w:rsidP="005C6D40">
            <w:pPr>
              <w:rPr>
                <w:color w:val="000000"/>
                <w:sz w:val="28"/>
              </w:rPr>
            </w:pPr>
          </w:p>
        </w:tc>
        <w:tc>
          <w:tcPr>
            <w:tcW w:w="1591" w:type="dxa"/>
            <w:vMerge/>
            <w:tcBorders>
              <w:top w:val="nil"/>
              <w:left w:val="single" w:sz="4" w:space="0" w:color="auto"/>
              <w:bottom w:val="single" w:sz="4" w:space="0" w:color="000000"/>
              <w:right w:val="single" w:sz="4" w:space="0" w:color="auto"/>
            </w:tcBorders>
            <w:vAlign w:val="center"/>
            <w:hideMark/>
          </w:tcPr>
          <w:p w14:paraId="3EB1EF85" w14:textId="77777777" w:rsidR="005C6D40" w:rsidRPr="005C6D40" w:rsidRDefault="005C6D40" w:rsidP="005C6D40">
            <w:pPr>
              <w:rPr>
                <w:color w:val="000000"/>
                <w:sz w:val="28"/>
              </w:rPr>
            </w:pPr>
          </w:p>
        </w:tc>
      </w:tr>
      <w:tr w:rsidR="005C6D40" w:rsidRPr="005C6D40" w14:paraId="2F9BDFA3" w14:textId="77777777" w:rsidTr="005C6D40">
        <w:trPr>
          <w:trHeight w:val="296"/>
        </w:trPr>
        <w:tc>
          <w:tcPr>
            <w:tcW w:w="919" w:type="dxa"/>
            <w:tcBorders>
              <w:top w:val="nil"/>
              <w:left w:val="single" w:sz="4" w:space="0" w:color="auto"/>
              <w:bottom w:val="single" w:sz="4" w:space="0" w:color="auto"/>
              <w:right w:val="single" w:sz="4" w:space="0" w:color="auto"/>
            </w:tcBorders>
            <w:shd w:val="clear" w:color="auto" w:fill="auto"/>
            <w:vAlign w:val="center"/>
            <w:hideMark/>
          </w:tcPr>
          <w:p w14:paraId="3883255B" w14:textId="77777777" w:rsidR="005C6D40" w:rsidRPr="00D314F8" w:rsidRDefault="005C6D40" w:rsidP="005C6D40">
            <w:pPr>
              <w:jc w:val="center"/>
              <w:rPr>
                <w:color w:val="000000"/>
                <w:sz w:val="22"/>
                <w:szCs w:val="22"/>
              </w:rPr>
            </w:pPr>
            <w:r w:rsidRPr="00D314F8">
              <w:rPr>
                <w:bCs/>
                <w:color w:val="000000"/>
                <w:sz w:val="22"/>
                <w:szCs w:val="22"/>
              </w:rPr>
              <w:t>55.15</w:t>
            </w:r>
          </w:p>
        </w:tc>
        <w:tc>
          <w:tcPr>
            <w:tcW w:w="5240" w:type="dxa"/>
            <w:tcBorders>
              <w:top w:val="nil"/>
              <w:left w:val="nil"/>
              <w:bottom w:val="single" w:sz="4" w:space="0" w:color="auto"/>
              <w:right w:val="single" w:sz="4" w:space="0" w:color="auto"/>
            </w:tcBorders>
            <w:shd w:val="clear" w:color="auto" w:fill="auto"/>
            <w:vAlign w:val="center"/>
            <w:hideMark/>
          </w:tcPr>
          <w:p w14:paraId="1A3CE189" w14:textId="77777777" w:rsidR="005C6D40" w:rsidRPr="00D314F8" w:rsidRDefault="005C6D40" w:rsidP="005C6D40">
            <w:pPr>
              <w:rPr>
                <w:color w:val="000000"/>
                <w:sz w:val="22"/>
                <w:szCs w:val="22"/>
              </w:rPr>
            </w:pPr>
            <w:r w:rsidRPr="00D314F8">
              <w:rPr>
                <w:bCs/>
                <w:color w:val="000000"/>
                <w:sz w:val="22"/>
                <w:szCs w:val="22"/>
              </w:rPr>
              <w:t>Sentetik devamsız liflerden diğer dokunmuş mensucat</w:t>
            </w:r>
          </w:p>
        </w:tc>
        <w:tc>
          <w:tcPr>
            <w:tcW w:w="1342" w:type="dxa"/>
            <w:vMerge/>
            <w:tcBorders>
              <w:top w:val="nil"/>
              <w:left w:val="single" w:sz="4" w:space="0" w:color="auto"/>
              <w:bottom w:val="single" w:sz="4" w:space="0" w:color="auto"/>
              <w:right w:val="single" w:sz="4" w:space="0" w:color="auto"/>
            </w:tcBorders>
            <w:vAlign w:val="center"/>
            <w:hideMark/>
          </w:tcPr>
          <w:p w14:paraId="2CA51791" w14:textId="77777777" w:rsidR="005C6D40" w:rsidRPr="005C6D40" w:rsidRDefault="005C6D40" w:rsidP="005C6D40">
            <w:pPr>
              <w:rPr>
                <w:color w:val="000000"/>
                <w:sz w:val="28"/>
              </w:rPr>
            </w:pPr>
          </w:p>
        </w:tc>
        <w:tc>
          <w:tcPr>
            <w:tcW w:w="1591" w:type="dxa"/>
            <w:vMerge/>
            <w:tcBorders>
              <w:top w:val="nil"/>
              <w:left w:val="single" w:sz="4" w:space="0" w:color="auto"/>
              <w:bottom w:val="single" w:sz="4" w:space="0" w:color="000000"/>
              <w:right w:val="single" w:sz="4" w:space="0" w:color="auto"/>
            </w:tcBorders>
            <w:vAlign w:val="center"/>
            <w:hideMark/>
          </w:tcPr>
          <w:p w14:paraId="5485E480" w14:textId="77777777" w:rsidR="005C6D40" w:rsidRPr="005C6D40" w:rsidRDefault="005C6D40" w:rsidP="005C6D40">
            <w:pPr>
              <w:rPr>
                <w:color w:val="000000"/>
                <w:sz w:val="28"/>
              </w:rPr>
            </w:pPr>
          </w:p>
        </w:tc>
      </w:tr>
      <w:tr w:rsidR="005C6D40" w:rsidRPr="005C6D40" w14:paraId="322C556F" w14:textId="77777777" w:rsidTr="005C6D40">
        <w:trPr>
          <w:trHeight w:val="296"/>
        </w:trPr>
        <w:tc>
          <w:tcPr>
            <w:tcW w:w="919" w:type="dxa"/>
            <w:tcBorders>
              <w:top w:val="nil"/>
              <w:left w:val="single" w:sz="4" w:space="0" w:color="auto"/>
              <w:bottom w:val="single" w:sz="4" w:space="0" w:color="auto"/>
              <w:right w:val="single" w:sz="4" w:space="0" w:color="auto"/>
            </w:tcBorders>
            <w:shd w:val="clear" w:color="auto" w:fill="auto"/>
            <w:vAlign w:val="center"/>
            <w:hideMark/>
          </w:tcPr>
          <w:p w14:paraId="09DF4197" w14:textId="77777777" w:rsidR="005C6D40" w:rsidRPr="00D314F8" w:rsidRDefault="005C6D40" w:rsidP="005C6D40">
            <w:pPr>
              <w:jc w:val="center"/>
              <w:rPr>
                <w:color w:val="000000"/>
                <w:sz w:val="22"/>
                <w:szCs w:val="22"/>
              </w:rPr>
            </w:pPr>
            <w:r w:rsidRPr="00D314F8">
              <w:rPr>
                <w:bCs/>
                <w:color w:val="000000"/>
                <w:sz w:val="22"/>
                <w:szCs w:val="22"/>
              </w:rPr>
              <w:t>55.16</w:t>
            </w:r>
          </w:p>
        </w:tc>
        <w:tc>
          <w:tcPr>
            <w:tcW w:w="5240" w:type="dxa"/>
            <w:tcBorders>
              <w:top w:val="nil"/>
              <w:left w:val="nil"/>
              <w:bottom w:val="single" w:sz="4" w:space="0" w:color="auto"/>
              <w:right w:val="single" w:sz="4" w:space="0" w:color="auto"/>
            </w:tcBorders>
            <w:shd w:val="clear" w:color="auto" w:fill="auto"/>
            <w:vAlign w:val="center"/>
            <w:hideMark/>
          </w:tcPr>
          <w:p w14:paraId="54E3FB5F" w14:textId="77777777" w:rsidR="005C6D40" w:rsidRPr="00D314F8" w:rsidRDefault="005C6D40" w:rsidP="005C6D40">
            <w:pPr>
              <w:rPr>
                <w:color w:val="000000"/>
                <w:sz w:val="22"/>
                <w:szCs w:val="22"/>
              </w:rPr>
            </w:pPr>
            <w:r w:rsidRPr="00D314F8">
              <w:rPr>
                <w:bCs/>
                <w:color w:val="000000"/>
                <w:sz w:val="22"/>
                <w:szCs w:val="22"/>
              </w:rPr>
              <w:t>Suni devamsız liflerden dokunmuş mensucat</w:t>
            </w:r>
          </w:p>
        </w:tc>
        <w:tc>
          <w:tcPr>
            <w:tcW w:w="1342" w:type="dxa"/>
            <w:vMerge/>
            <w:tcBorders>
              <w:top w:val="nil"/>
              <w:left w:val="single" w:sz="4" w:space="0" w:color="auto"/>
              <w:bottom w:val="single" w:sz="4" w:space="0" w:color="auto"/>
              <w:right w:val="single" w:sz="4" w:space="0" w:color="auto"/>
            </w:tcBorders>
            <w:vAlign w:val="center"/>
            <w:hideMark/>
          </w:tcPr>
          <w:p w14:paraId="492F4A39" w14:textId="77777777" w:rsidR="005C6D40" w:rsidRPr="005C6D40" w:rsidRDefault="005C6D40" w:rsidP="005C6D40">
            <w:pPr>
              <w:rPr>
                <w:color w:val="000000"/>
                <w:sz w:val="28"/>
              </w:rPr>
            </w:pPr>
          </w:p>
        </w:tc>
        <w:tc>
          <w:tcPr>
            <w:tcW w:w="1591" w:type="dxa"/>
            <w:vMerge/>
            <w:tcBorders>
              <w:top w:val="nil"/>
              <w:left w:val="single" w:sz="4" w:space="0" w:color="auto"/>
              <w:bottom w:val="single" w:sz="4" w:space="0" w:color="000000"/>
              <w:right w:val="single" w:sz="4" w:space="0" w:color="auto"/>
            </w:tcBorders>
            <w:vAlign w:val="center"/>
            <w:hideMark/>
          </w:tcPr>
          <w:p w14:paraId="363F36F6" w14:textId="77777777" w:rsidR="005C6D40" w:rsidRPr="005C6D40" w:rsidRDefault="005C6D40" w:rsidP="005C6D40">
            <w:pPr>
              <w:rPr>
                <w:color w:val="000000"/>
                <w:sz w:val="28"/>
              </w:rPr>
            </w:pPr>
          </w:p>
        </w:tc>
      </w:tr>
    </w:tbl>
    <w:p w14:paraId="3895D654" w14:textId="2EAB3041" w:rsidR="00210E2D" w:rsidRPr="0055784D" w:rsidRDefault="00210E2D" w:rsidP="00E648CD">
      <w:pPr>
        <w:spacing w:before="120" w:after="120"/>
        <w:jc w:val="both"/>
      </w:pPr>
    </w:p>
    <w:sectPr w:rsidR="00210E2D" w:rsidRPr="0055784D" w:rsidSect="00953C04">
      <w:headerReference w:type="first" r:id="rId8"/>
      <w:footerReference w:type="first" r:id="rId9"/>
      <w:pgSz w:w="11906" w:h="16838" w:code="9"/>
      <w:pgMar w:top="1417" w:right="1417" w:bottom="1134" w:left="1417"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C79842" w14:textId="77777777" w:rsidR="002328F5" w:rsidRDefault="002328F5" w:rsidP="00C37C0A">
      <w:r>
        <w:separator/>
      </w:r>
    </w:p>
  </w:endnote>
  <w:endnote w:type="continuationSeparator" w:id="0">
    <w:p w14:paraId="4F82A618" w14:textId="77777777" w:rsidR="002328F5" w:rsidRDefault="002328F5" w:rsidP="00C37C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Garamond">
    <w:panose1 w:val="02020404030301010803"/>
    <w:charset w:val="A2"/>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A2"/>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02870660"/>
      <w:docPartObj>
        <w:docPartGallery w:val="Page Numbers (Bottom of Page)"/>
        <w:docPartUnique/>
      </w:docPartObj>
    </w:sdtPr>
    <w:sdtEndPr/>
    <w:sdtContent>
      <w:p w14:paraId="1F5F0A9B" w14:textId="150B8BCE" w:rsidR="00953C04" w:rsidRDefault="00953C04">
        <w:pPr>
          <w:pStyle w:val="AltBilgi"/>
          <w:jc w:val="right"/>
        </w:pPr>
        <w:r>
          <w:fldChar w:fldCharType="begin"/>
        </w:r>
        <w:r>
          <w:instrText>PAGE   \* MERGEFORMAT</w:instrText>
        </w:r>
        <w:r>
          <w:fldChar w:fldCharType="separate"/>
        </w:r>
        <w:r w:rsidR="00522ABA">
          <w:rPr>
            <w:noProof/>
          </w:rPr>
          <w:t>1</w:t>
        </w:r>
        <w:r>
          <w:fldChar w:fldCharType="end"/>
        </w:r>
      </w:p>
    </w:sdtContent>
  </w:sdt>
  <w:p w14:paraId="4C891EEA" w14:textId="77777777" w:rsidR="00953C04" w:rsidRDefault="00953C04">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B4E7B3" w14:textId="77777777" w:rsidR="002328F5" w:rsidRDefault="002328F5" w:rsidP="00C37C0A">
      <w:r>
        <w:separator/>
      </w:r>
    </w:p>
  </w:footnote>
  <w:footnote w:type="continuationSeparator" w:id="0">
    <w:p w14:paraId="68E14149" w14:textId="77777777" w:rsidR="002328F5" w:rsidRDefault="002328F5" w:rsidP="00C37C0A">
      <w:r>
        <w:continuationSeparator/>
      </w:r>
    </w:p>
  </w:footnote>
  <w:footnote w:id="1">
    <w:p w14:paraId="0A08EEF9" w14:textId="6A1FE16B" w:rsidR="000227B6" w:rsidRDefault="000227B6" w:rsidP="000227B6">
      <w:pPr>
        <w:pStyle w:val="DipnotMetni"/>
      </w:pPr>
      <w:r w:rsidRPr="00236173">
        <w:rPr>
          <w:rStyle w:val="DipnotBavurusu"/>
        </w:rPr>
        <w:footnoteRef/>
      </w:r>
      <w:r w:rsidRPr="00236173">
        <w:t xml:space="preserve"> </w:t>
      </w:r>
      <w:r w:rsidRPr="00236173">
        <w:rPr>
          <w:b/>
          <w:bCs/>
        </w:rPr>
        <w:t xml:space="preserve">Kaynak: </w:t>
      </w:r>
      <w:r w:rsidR="005B3129">
        <w:t>www.</w:t>
      </w:r>
      <w:r w:rsidRPr="00236173">
        <w:t>i-tip.wto.org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021923" w14:textId="77777777" w:rsidR="00A836B6" w:rsidRDefault="00A836B6" w:rsidP="00A836B6">
    <w:pPr>
      <w:keepNext/>
      <w:jc w:val="center"/>
      <w:outlineLvl w:val="0"/>
      <w:rPr>
        <w:b/>
        <w:color w:val="0D0D0D"/>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81D09"/>
    <w:multiLevelType w:val="hybridMultilevel"/>
    <w:tmpl w:val="C4B2973A"/>
    <w:lvl w:ilvl="0" w:tplc="3A34453E">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1CC18FF"/>
    <w:multiLevelType w:val="multilevel"/>
    <w:tmpl w:val="E278AC98"/>
    <w:lvl w:ilvl="0">
      <w:start w:val="1"/>
      <w:numFmt w:val="decimal"/>
      <w:lvlText w:val="%1."/>
      <w:lvlJc w:val="left"/>
      <w:pPr>
        <w:ind w:left="-284" w:hanging="360"/>
      </w:pPr>
    </w:lvl>
    <w:lvl w:ilvl="1">
      <w:start w:val="1"/>
      <w:numFmt w:val="decimal"/>
      <w:lvlText w:val="%1.%2."/>
      <w:lvlJc w:val="left"/>
      <w:pPr>
        <w:ind w:left="-212" w:hanging="432"/>
      </w:pPr>
      <w:rPr>
        <w:b/>
      </w:rPr>
    </w:lvl>
    <w:lvl w:ilvl="2">
      <w:start w:val="1"/>
      <w:numFmt w:val="decimal"/>
      <w:lvlText w:val="%1.%2.%3."/>
      <w:lvlJc w:val="left"/>
      <w:pPr>
        <w:ind w:left="580" w:hanging="504"/>
      </w:pPr>
    </w:lvl>
    <w:lvl w:ilvl="3">
      <w:start w:val="1"/>
      <w:numFmt w:val="decimal"/>
      <w:lvlText w:val="%1.%2.%3.%4."/>
      <w:lvlJc w:val="left"/>
      <w:pPr>
        <w:ind w:left="1084" w:hanging="648"/>
      </w:pPr>
    </w:lvl>
    <w:lvl w:ilvl="4">
      <w:start w:val="1"/>
      <w:numFmt w:val="decimal"/>
      <w:lvlText w:val="%1.%2.%3.%4.%5."/>
      <w:lvlJc w:val="left"/>
      <w:pPr>
        <w:ind w:left="1588" w:hanging="792"/>
      </w:pPr>
    </w:lvl>
    <w:lvl w:ilvl="5">
      <w:start w:val="1"/>
      <w:numFmt w:val="decimal"/>
      <w:lvlText w:val="%1.%2.%3.%4.%5.%6."/>
      <w:lvlJc w:val="left"/>
      <w:pPr>
        <w:ind w:left="2092" w:hanging="936"/>
      </w:pPr>
    </w:lvl>
    <w:lvl w:ilvl="6">
      <w:start w:val="1"/>
      <w:numFmt w:val="decimal"/>
      <w:lvlText w:val="%1.%2.%3.%4.%5.%6.%7."/>
      <w:lvlJc w:val="left"/>
      <w:pPr>
        <w:ind w:left="2596" w:hanging="1080"/>
      </w:pPr>
    </w:lvl>
    <w:lvl w:ilvl="7">
      <w:start w:val="1"/>
      <w:numFmt w:val="decimal"/>
      <w:lvlText w:val="%1.%2.%3.%4.%5.%6.%7.%8."/>
      <w:lvlJc w:val="left"/>
      <w:pPr>
        <w:ind w:left="3100" w:hanging="1224"/>
      </w:pPr>
    </w:lvl>
    <w:lvl w:ilvl="8">
      <w:start w:val="1"/>
      <w:numFmt w:val="decimal"/>
      <w:lvlText w:val="%1.%2.%3.%4.%5.%6.%7.%8.%9."/>
      <w:lvlJc w:val="left"/>
      <w:pPr>
        <w:ind w:left="3676" w:hanging="1440"/>
      </w:pPr>
    </w:lvl>
  </w:abstractNum>
  <w:abstractNum w:abstractNumId="2" w15:restartNumberingAfterBreak="0">
    <w:nsid w:val="0CC21052"/>
    <w:multiLevelType w:val="hybridMultilevel"/>
    <w:tmpl w:val="98BCEA7E"/>
    <w:lvl w:ilvl="0" w:tplc="1E363E3A">
      <w:start w:val="1"/>
      <w:numFmt w:val="decimal"/>
      <w:suff w:val="space"/>
      <w:lvlText w:val="(%1)"/>
      <w:lvlJc w:val="left"/>
      <w:pPr>
        <w:ind w:left="0" w:firstLine="0"/>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1199504F"/>
    <w:multiLevelType w:val="hybridMultilevel"/>
    <w:tmpl w:val="7382BC6C"/>
    <w:lvl w:ilvl="0" w:tplc="FAA64D2A">
      <w:start w:val="1"/>
      <mc:AlternateContent>
        <mc:Choice Requires="w14">
          <w:numFmt w:val="custom" w:format="a, ç, ĝ, ..."/>
        </mc:Choice>
        <mc:Fallback>
          <w:numFmt w:val="decimal"/>
        </mc:Fallback>
      </mc:AlternateContent>
      <w:lvlText w:val="%1)"/>
      <w:lvlJc w:val="left"/>
      <w:pPr>
        <w:ind w:left="502"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4" w15:restartNumberingAfterBreak="0">
    <w:nsid w:val="148605BC"/>
    <w:multiLevelType w:val="hybridMultilevel"/>
    <w:tmpl w:val="B65433EC"/>
    <w:lvl w:ilvl="0" w:tplc="B7524E92">
      <w:start w:val="1"/>
      <w:numFmt w:val="decimal"/>
      <w:suff w:val="space"/>
      <w:lvlText w:val="(%1)"/>
      <w:lvlJc w:val="left"/>
      <w:pPr>
        <w:ind w:left="0" w:firstLine="0"/>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186632A2"/>
    <w:multiLevelType w:val="hybridMultilevel"/>
    <w:tmpl w:val="1C0C3D1E"/>
    <w:lvl w:ilvl="0" w:tplc="39BE872A">
      <w:start w:val="1"/>
      <w:numFmt w:val="decimal"/>
      <w:suff w:val="space"/>
      <w:lvlText w:val="(%1)"/>
      <w:lvlJc w:val="left"/>
      <w:pPr>
        <w:ind w:left="0" w:firstLine="0"/>
      </w:pPr>
      <w:rPr>
        <w:rFonts w:hint="default"/>
        <w:b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190F777A"/>
    <w:multiLevelType w:val="hybridMultilevel"/>
    <w:tmpl w:val="4656A644"/>
    <w:lvl w:ilvl="0" w:tplc="5D5E7906">
      <w:start w:val="1"/>
      <w:numFmt w:val="decimal"/>
      <w:suff w:val="space"/>
      <w:lvlText w:val="(%1)"/>
      <w:lvlJc w:val="left"/>
      <w:pPr>
        <w:ind w:left="0" w:firstLine="0"/>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1DF16C68"/>
    <w:multiLevelType w:val="hybridMultilevel"/>
    <w:tmpl w:val="2CBA470C"/>
    <w:lvl w:ilvl="0" w:tplc="26A8693C">
      <w:start w:val="1"/>
      <w:numFmt w:val="decimal"/>
      <w:suff w:val="space"/>
      <w:lvlText w:val="(%1)"/>
      <w:lvlJc w:val="left"/>
      <w:pPr>
        <w:ind w:left="0" w:firstLine="644"/>
      </w:pPr>
      <w:rPr>
        <w:rFonts w:hint="default"/>
        <w:b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1EE50115"/>
    <w:multiLevelType w:val="multilevel"/>
    <w:tmpl w:val="88BE7594"/>
    <w:lvl w:ilvl="0">
      <w:start w:val="1"/>
      <w:numFmt w:val="decimal"/>
      <w:suff w:val="space"/>
      <w:lvlText w:val="(%1)"/>
      <w:lvlJc w:val="left"/>
      <w:pPr>
        <w:ind w:left="360" w:hanging="360"/>
      </w:pPr>
      <w:rPr>
        <w:rFonts w:hint="default"/>
        <w:color w:val="auto"/>
      </w:rPr>
    </w:lvl>
    <w:lvl w:ilvl="1">
      <w:start w:val="2"/>
      <w:numFmt w:val="decimal"/>
      <w:suff w:val="space"/>
      <w:lvlText w:val="%1.%2."/>
      <w:lvlJc w:val="left"/>
      <w:pPr>
        <w:ind w:left="43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1FEF499F"/>
    <w:multiLevelType w:val="multilevel"/>
    <w:tmpl w:val="CF9C345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25E87645"/>
    <w:multiLevelType w:val="multilevel"/>
    <w:tmpl w:val="7A2EAA9A"/>
    <w:lvl w:ilvl="0">
      <w:start w:val="1"/>
      <w:numFmt w:val="decimal"/>
      <w:lvlText w:val="%1."/>
      <w:lvlJc w:val="left"/>
      <w:pPr>
        <w:ind w:left="360" w:hanging="360"/>
      </w:pPr>
      <w:rPr>
        <w:rFonts w:hint="default"/>
      </w:rPr>
    </w:lvl>
    <w:lvl w:ilvl="1">
      <w:start w:val="1"/>
      <w:numFmt w:val="decimal"/>
      <w:suff w:val="space"/>
      <w:lvlText w:val="%1.%2."/>
      <w:lvlJc w:val="left"/>
      <w:pPr>
        <w:ind w:left="792" w:hanging="432"/>
      </w:pPr>
      <w:rPr>
        <w:rFonts w:hint="default"/>
        <w:b/>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26EE3F7B"/>
    <w:multiLevelType w:val="multilevel"/>
    <w:tmpl w:val="1A824678"/>
    <w:lvl w:ilvl="0">
      <w:start w:val="1"/>
      <w:numFmt w:val="decimal"/>
      <w:lvlText w:val="(%1)"/>
      <w:lvlJc w:val="left"/>
      <w:pPr>
        <w:ind w:left="0" w:firstLine="0"/>
      </w:pPr>
      <w:rPr>
        <w:rFonts w:hint="default"/>
        <w:b w:val="0"/>
        <w:color w:val="auto"/>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B951E49"/>
    <w:multiLevelType w:val="hybridMultilevel"/>
    <w:tmpl w:val="F5A2EE0A"/>
    <w:lvl w:ilvl="0" w:tplc="23EEEEFC">
      <w:start w:val="1"/>
      <w:numFmt w:val="decimal"/>
      <w:suff w:val="space"/>
      <w:lvlText w:val="(%1)"/>
      <w:lvlJc w:val="left"/>
      <w:pPr>
        <w:ind w:left="1004" w:hanging="360"/>
      </w:pPr>
      <w:rPr>
        <w:rFonts w:hint="default"/>
        <w:b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3" w15:restartNumberingAfterBreak="0">
    <w:nsid w:val="2E802818"/>
    <w:multiLevelType w:val="multilevel"/>
    <w:tmpl w:val="17B011B4"/>
    <w:lvl w:ilvl="0">
      <w:start w:val="1"/>
      <w:numFmt w:val="decimal"/>
      <w:suff w:val="space"/>
      <w:lvlText w:val="(%1)"/>
      <w:lvlJc w:val="left"/>
      <w:pPr>
        <w:ind w:left="0" w:firstLine="0"/>
      </w:pPr>
      <w:rPr>
        <w:rFonts w:hint="default"/>
        <w:b w:val="0"/>
        <w:bCs/>
        <w:color w:val="auto"/>
      </w:rPr>
    </w:lvl>
    <w:lvl w:ilvl="1">
      <w:start w:val="2"/>
      <w:numFmt w:val="decimal"/>
      <w:lvlText w:val="%1.%2."/>
      <w:lvlJc w:val="left"/>
      <w:pPr>
        <w:ind w:left="43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2F3D7B2F"/>
    <w:multiLevelType w:val="multilevel"/>
    <w:tmpl w:val="98D48480"/>
    <w:lvl w:ilvl="0">
      <w:start w:val="1"/>
      <w:numFmt w:val="decimal"/>
      <w:lvlText w:val="(%1)"/>
      <w:lvlJc w:val="left"/>
      <w:pPr>
        <w:ind w:left="0" w:firstLine="0"/>
      </w:pPr>
      <w:rPr>
        <w:rFonts w:hint="default"/>
        <w:color w:val="auto"/>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312B6ADC"/>
    <w:multiLevelType w:val="hybridMultilevel"/>
    <w:tmpl w:val="6CE02D6E"/>
    <w:lvl w:ilvl="0" w:tplc="F2288B16">
      <w:start w:val="1"/>
      <w:numFmt w:val="decimal"/>
      <w:suff w:val="space"/>
      <w:lvlText w:val="(%1)"/>
      <w:lvlJc w:val="left"/>
      <w:pPr>
        <w:ind w:left="0" w:firstLine="0"/>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32453767"/>
    <w:multiLevelType w:val="multilevel"/>
    <w:tmpl w:val="6054F7FA"/>
    <w:styleLink w:val="Stil1"/>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33725A59"/>
    <w:multiLevelType w:val="multilevel"/>
    <w:tmpl w:val="F274CD7E"/>
    <w:lvl w:ilvl="0">
      <w:start w:val="1"/>
      <w:numFmt w:val="decimal"/>
      <w:suff w:val="space"/>
      <w:lvlText w:val="(%1)"/>
      <w:lvlJc w:val="left"/>
      <w:pPr>
        <w:ind w:left="0" w:firstLine="0"/>
      </w:pPr>
      <w:rPr>
        <w:rFonts w:hint="default"/>
      </w:rPr>
    </w:lvl>
    <w:lvl w:ilvl="1">
      <w:start w:val="1"/>
      <w:numFmt w:val="decimal"/>
      <w:lvlText w:val="%1.%2."/>
      <w:lvlJc w:val="left"/>
      <w:pPr>
        <w:ind w:left="43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3FE5BAE"/>
    <w:multiLevelType w:val="hybridMultilevel"/>
    <w:tmpl w:val="C7C43B38"/>
    <w:lvl w:ilvl="0" w:tplc="E27C46A0">
      <w:start w:val="1"/>
      <w:numFmt w:val="decimal"/>
      <w:suff w:val="space"/>
      <w:lvlText w:val="(%1)"/>
      <w:lvlJc w:val="left"/>
      <w:pPr>
        <w:ind w:left="0" w:firstLine="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37C40F8F"/>
    <w:multiLevelType w:val="hybridMultilevel"/>
    <w:tmpl w:val="8FAE7C18"/>
    <w:lvl w:ilvl="0" w:tplc="BBC028FC">
      <w:start w:val="1"/>
      <w:numFmt w:val="low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37CC3E80"/>
    <w:multiLevelType w:val="hybridMultilevel"/>
    <w:tmpl w:val="E488EE96"/>
    <w:lvl w:ilvl="0" w:tplc="E2A0D238">
      <w:start w:val="2"/>
      <mc:AlternateContent>
        <mc:Choice Requires="w14">
          <w:numFmt w:val="custom" w:format="a, ç, ĝ, ..."/>
        </mc:Choice>
        <mc:Fallback>
          <w:numFmt w:val="decimal"/>
        </mc:Fallback>
      </mc:AlternateContent>
      <w:lvlText w:val="%1)"/>
      <w:lvlJc w:val="left"/>
      <w:pPr>
        <w:ind w:left="36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3A616907"/>
    <w:multiLevelType w:val="hybridMultilevel"/>
    <w:tmpl w:val="92A06B02"/>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3C1668F3"/>
    <w:multiLevelType w:val="hybridMultilevel"/>
    <w:tmpl w:val="DC70536E"/>
    <w:lvl w:ilvl="0" w:tplc="14009B30">
      <w:start w:val="1"/>
      <w:numFmt w:val="decimal"/>
      <w:lvlText w:val="(%1)"/>
      <w:lvlJc w:val="left"/>
      <w:pPr>
        <w:ind w:left="360" w:hanging="360"/>
      </w:pPr>
      <w:rPr>
        <w:rFonts w:hint="default"/>
        <w:b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3" w15:restartNumberingAfterBreak="0">
    <w:nsid w:val="3C247F6D"/>
    <w:multiLevelType w:val="hybridMultilevel"/>
    <w:tmpl w:val="DD40810E"/>
    <w:lvl w:ilvl="0" w:tplc="7B6AF2AE">
      <w:start w:val="2"/>
      <mc:AlternateContent>
        <mc:Choice Requires="w14">
          <w:numFmt w:val="custom" w:format="a, ç, ĝ, ..."/>
        </mc:Choice>
        <mc:Fallback>
          <w:numFmt w:val="decimal"/>
        </mc:Fallback>
      </mc:AlternateContent>
      <w:lvlText w:val="%1)"/>
      <w:lvlJc w:val="left"/>
      <w:pPr>
        <w:ind w:left="360" w:hanging="360"/>
      </w:pPr>
      <w:rPr>
        <w:rFonts w:hint="default"/>
        <w:b/>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3CB10070"/>
    <w:multiLevelType w:val="multilevel"/>
    <w:tmpl w:val="F7762B9C"/>
    <w:lvl w:ilvl="0">
      <w:start w:val="4"/>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DC824CB"/>
    <w:multiLevelType w:val="hybridMultilevel"/>
    <w:tmpl w:val="90A0E17C"/>
    <w:lvl w:ilvl="0" w:tplc="7566547C">
      <w:start w:val="1"/>
      <w:numFmt w:val="decimal"/>
      <w:suff w:val="space"/>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589527C1"/>
    <w:multiLevelType w:val="hybridMultilevel"/>
    <w:tmpl w:val="877E8DC0"/>
    <w:lvl w:ilvl="0" w:tplc="041F001B">
      <w:start w:val="1"/>
      <w:numFmt w:val="lowerRoman"/>
      <w:lvlText w:val="%1."/>
      <w:lvlJc w:val="righ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27" w15:restartNumberingAfterBreak="0">
    <w:nsid w:val="58D07F52"/>
    <w:multiLevelType w:val="hybridMultilevel"/>
    <w:tmpl w:val="1A8E02AA"/>
    <w:lvl w:ilvl="0" w:tplc="B3ECFB0A">
      <w:start w:val="1"/>
      <w:numFmt w:val="decimal"/>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15:restartNumberingAfterBreak="0">
    <w:nsid w:val="59DD2BC6"/>
    <w:multiLevelType w:val="hybridMultilevel"/>
    <w:tmpl w:val="B20CFDE0"/>
    <w:lvl w:ilvl="0" w:tplc="985684CA">
      <w:start w:val="1"/>
      <w:numFmt w:val="decimal"/>
      <w:suff w:val="space"/>
      <w:lvlText w:val="(%1)"/>
      <w:lvlJc w:val="left"/>
      <w:pPr>
        <w:ind w:left="36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15:restartNumberingAfterBreak="0">
    <w:nsid w:val="601E1AEB"/>
    <w:multiLevelType w:val="multilevel"/>
    <w:tmpl w:val="B6382CF2"/>
    <w:lvl w:ilvl="0">
      <w:start w:val="1"/>
      <w:numFmt w:val="none"/>
      <w:suff w:val="space"/>
      <w:lvlText w:val="1.6."/>
      <w:lvlJc w:val="left"/>
      <w:pPr>
        <w:ind w:left="0" w:firstLine="0"/>
      </w:pPr>
      <w:rPr>
        <w:rFonts w:hint="default"/>
        <w:color w:val="auto"/>
      </w:rPr>
    </w:lvl>
    <w:lvl w:ilvl="1">
      <w:start w:val="2"/>
      <w:numFmt w:val="decimal"/>
      <w:suff w:val="space"/>
      <w:lvlText w:val="%1.%2."/>
      <w:lvlJc w:val="left"/>
      <w:pPr>
        <w:ind w:left="43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62D1325A"/>
    <w:multiLevelType w:val="hybridMultilevel"/>
    <w:tmpl w:val="E8408E72"/>
    <w:lvl w:ilvl="0" w:tplc="2B48B1D0">
      <w:start w:val="1"/>
      <w:numFmt w:val="decimal"/>
      <w:suff w:val="space"/>
      <w:lvlText w:val="(%1)"/>
      <w:lvlJc w:val="left"/>
      <w:pPr>
        <w:ind w:left="0" w:firstLine="0"/>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15:restartNumberingAfterBreak="0">
    <w:nsid w:val="63E359E5"/>
    <w:multiLevelType w:val="multilevel"/>
    <w:tmpl w:val="1472B172"/>
    <w:lvl w:ilvl="0">
      <w:start w:val="6"/>
      <w:numFmt w:val="decimal"/>
      <w:suff w:val="space"/>
      <w:lvlText w:val="(%1)"/>
      <w:lvlJc w:val="left"/>
      <w:pPr>
        <w:ind w:left="0" w:firstLine="0"/>
      </w:pPr>
      <w:rPr>
        <w:rFonts w:hint="default"/>
      </w:rPr>
    </w:lvl>
    <w:lvl w:ilvl="1">
      <w:start w:val="1"/>
      <w:numFmt w:val="decimal"/>
      <w:lvlText w:val="%1.%2."/>
      <w:lvlJc w:val="left"/>
      <w:pPr>
        <w:ind w:left="43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65873617"/>
    <w:multiLevelType w:val="multilevel"/>
    <w:tmpl w:val="537E944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6640790B"/>
    <w:multiLevelType w:val="hybridMultilevel"/>
    <w:tmpl w:val="DBF62BA8"/>
    <w:lvl w:ilvl="0" w:tplc="041F001B">
      <w:start w:val="1"/>
      <w:numFmt w:val="lowerRoman"/>
      <w:lvlText w:val="%1."/>
      <w:lvlJc w:val="righ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4" w15:restartNumberingAfterBreak="0">
    <w:nsid w:val="6C2B0EC3"/>
    <w:multiLevelType w:val="hybridMultilevel"/>
    <w:tmpl w:val="BB18100E"/>
    <w:lvl w:ilvl="0" w:tplc="4E0EE5A2">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5" w15:restartNumberingAfterBreak="0">
    <w:nsid w:val="6C8329CA"/>
    <w:multiLevelType w:val="hybridMultilevel"/>
    <w:tmpl w:val="AD36A0EA"/>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6" w15:restartNumberingAfterBreak="0">
    <w:nsid w:val="718142F5"/>
    <w:multiLevelType w:val="hybridMultilevel"/>
    <w:tmpl w:val="E8408E72"/>
    <w:lvl w:ilvl="0" w:tplc="2B48B1D0">
      <w:start w:val="1"/>
      <w:numFmt w:val="decimal"/>
      <w:suff w:val="space"/>
      <w:lvlText w:val="(%1)"/>
      <w:lvlJc w:val="left"/>
      <w:pPr>
        <w:ind w:left="0" w:firstLine="0"/>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7" w15:restartNumberingAfterBreak="0">
    <w:nsid w:val="73DB56FB"/>
    <w:multiLevelType w:val="multilevel"/>
    <w:tmpl w:val="63A65D02"/>
    <w:lvl w:ilvl="0">
      <w:start w:val="3"/>
      <w:numFmt w:val="decimal"/>
      <w:lvlText w:val="%1."/>
      <w:lvlJc w:val="left"/>
      <w:pPr>
        <w:ind w:left="360" w:hanging="360"/>
      </w:pPr>
      <w:rPr>
        <w:rFonts w:hint="default"/>
        <w:color w:val="auto"/>
      </w:rPr>
    </w:lvl>
    <w:lvl w:ilvl="1">
      <w:start w:val="4"/>
      <w:numFmt w:val="decimal"/>
      <w:lvlText w:val="%1.%2."/>
      <w:lvlJc w:val="left"/>
      <w:pPr>
        <w:ind w:left="432" w:hanging="432"/>
      </w:pPr>
      <w:rPr>
        <w:rFonts w:hint="default"/>
        <w:b/>
      </w:rPr>
    </w:lvl>
    <w:lvl w:ilvl="2">
      <w:start w:val="1"/>
      <w:numFmt w:val="decimal"/>
      <w:lvlText w:val="%1.%2.%3."/>
      <w:lvlJc w:val="left"/>
      <w:pPr>
        <w:ind w:left="1213"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78DE3133"/>
    <w:multiLevelType w:val="multilevel"/>
    <w:tmpl w:val="0ACEC394"/>
    <w:lvl w:ilvl="0">
      <w:start w:val="1"/>
      <w:numFmt w:val="decimal"/>
      <w:lvlText w:val="(%1)"/>
      <w:lvlJc w:val="left"/>
      <w:pPr>
        <w:ind w:left="360" w:hanging="360"/>
      </w:pPr>
      <w:rPr>
        <w:rFonts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7B676481"/>
    <w:multiLevelType w:val="multilevel"/>
    <w:tmpl w:val="C360D81C"/>
    <w:lvl w:ilvl="0">
      <w:start w:val="1"/>
      <w:numFmt w:val="decimal"/>
      <w:suff w:val="space"/>
      <w:lvlText w:val="(%1)"/>
      <w:lvlJc w:val="left"/>
      <w:pPr>
        <w:ind w:left="0" w:firstLine="0"/>
      </w:pPr>
      <w:rPr>
        <w:rFonts w:hint="default"/>
        <w:b w:val="0"/>
        <w:color w:val="auto"/>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7CCF7505"/>
    <w:multiLevelType w:val="hybridMultilevel"/>
    <w:tmpl w:val="48FA17C4"/>
    <w:lvl w:ilvl="0" w:tplc="1E340132">
      <w:start w:val="2"/>
      <w:numFmt w:val="decimal"/>
      <w:suff w:val="space"/>
      <w:lvlText w:val="(%1)"/>
      <w:lvlJc w:val="left"/>
      <w:pPr>
        <w:ind w:left="0" w:firstLine="0"/>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1" w15:restartNumberingAfterBreak="0">
    <w:nsid w:val="7D492ED3"/>
    <w:multiLevelType w:val="hybridMultilevel"/>
    <w:tmpl w:val="AD36A0EA"/>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
  </w:num>
  <w:num w:numId="2">
    <w:abstractNumId w:val="32"/>
  </w:num>
  <w:num w:numId="3">
    <w:abstractNumId w:val="9"/>
  </w:num>
  <w:num w:numId="4">
    <w:abstractNumId w:val="7"/>
  </w:num>
  <w:num w:numId="5">
    <w:abstractNumId w:val="38"/>
  </w:num>
  <w:num w:numId="6">
    <w:abstractNumId w:val="10"/>
  </w:num>
  <w:num w:numId="7">
    <w:abstractNumId w:val="34"/>
  </w:num>
  <w:num w:numId="8">
    <w:abstractNumId w:val="16"/>
  </w:num>
  <w:num w:numId="9">
    <w:abstractNumId w:val="37"/>
  </w:num>
  <w:num w:numId="10">
    <w:abstractNumId w:val="8"/>
  </w:num>
  <w:num w:numId="11">
    <w:abstractNumId w:val="13"/>
  </w:num>
  <w:num w:numId="12">
    <w:abstractNumId w:val="24"/>
  </w:num>
  <w:num w:numId="13">
    <w:abstractNumId w:val="21"/>
  </w:num>
  <w:num w:numId="14">
    <w:abstractNumId w:val="26"/>
  </w:num>
  <w:num w:numId="15">
    <w:abstractNumId w:val="5"/>
  </w:num>
  <w:num w:numId="16">
    <w:abstractNumId w:val="28"/>
  </w:num>
  <w:num w:numId="17">
    <w:abstractNumId w:val="28"/>
    <w:lvlOverride w:ilvl="0">
      <w:lvl w:ilvl="0" w:tplc="985684CA">
        <w:start w:val="1"/>
        <w:numFmt w:val="decimal"/>
        <w:suff w:val="space"/>
        <w:lvlText w:val="(%1)"/>
        <w:lvlJc w:val="left"/>
        <w:pPr>
          <w:ind w:left="0" w:firstLine="0"/>
        </w:pPr>
        <w:rPr>
          <w:rFonts w:hint="default"/>
          <w:b w:val="0"/>
        </w:rPr>
      </w:lvl>
    </w:lvlOverride>
    <w:lvlOverride w:ilvl="1">
      <w:lvl w:ilvl="1" w:tplc="041F0019" w:tentative="1">
        <w:start w:val="1"/>
        <w:numFmt w:val="lowerLetter"/>
        <w:lvlText w:val="%2."/>
        <w:lvlJc w:val="left"/>
        <w:pPr>
          <w:ind w:left="1440" w:hanging="360"/>
        </w:pPr>
      </w:lvl>
    </w:lvlOverride>
    <w:lvlOverride w:ilvl="2">
      <w:lvl w:ilvl="2" w:tplc="041F001B" w:tentative="1">
        <w:start w:val="1"/>
        <w:numFmt w:val="lowerRoman"/>
        <w:lvlText w:val="%3."/>
        <w:lvlJc w:val="right"/>
        <w:pPr>
          <w:ind w:left="2160" w:hanging="180"/>
        </w:pPr>
      </w:lvl>
    </w:lvlOverride>
    <w:lvlOverride w:ilvl="3">
      <w:lvl w:ilvl="3" w:tplc="041F000F" w:tentative="1">
        <w:start w:val="1"/>
        <w:numFmt w:val="decimal"/>
        <w:lvlText w:val="%4."/>
        <w:lvlJc w:val="left"/>
        <w:pPr>
          <w:ind w:left="2880" w:hanging="360"/>
        </w:pPr>
      </w:lvl>
    </w:lvlOverride>
    <w:lvlOverride w:ilvl="4">
      <w:lvl w:ilvl="4" w:tplc="041F0019" w:tentative="1">
        <w:start w:val="1"/>
        <w:numFmt w:val="lowerLetter"/>
        <w:lvlText w:val="%5."/>
        <w:lvlJc w:val="left"/>
        <w:pPr>
          <w:ind w:left="3600" w:hanging="360"/>
        </w:pPr>
      </w:lvl>
    </w:lvlOverride>
    <w:lvlOverride w:ilvl="5">
      <w:lvl w:ilvl="5" w:tplc="041F001B" w:tentative="1">
        <w:start w:val="1"/>
        <w:numFmt w:val="lowerRoman"/>
        <w:lvlText w:val="%6."/>
        <w:lvlJc w:val="right"/>
        <w:pPr>
          <w:ind w:left="4320" w:hanging="180"/>
        </w:pPr>
      </w:lvl>
    </w:lvlOverride>
    <w:lvlOverride w:ilvl="6">
      <w:lvl w:ilvl="6" w:tplc="041F000F" w:tentative="1">
        <w:start w:val="1"/>
        <w:numFmt w:val="decimal"/>
        <w:lvlText w:val="%7."/>
        <w:lvlJc w:val="left"/>
        <w:pPr>
          <w:ind w:left="5040" w:hanging="360"/>
        </w:pPr>
      </w:lvl>
    </w:lvlOverride>
    <w:lvlOverride w:ilvl="7">
      <w:lvl w:ilvl="7" w:tplc="041F0019" w:tentative="1">
        <w:start w:val="1"/>
        <w:numFmt w:val="lowerLetter"/>
        <w:lvlText w:val="%8."/>
        <w:lvlJc w:val="left"/>
        <w:pPr>
          <w:ind w:left="5760" w:hanging="360"/>
        </w:pPr>
      </w:lvl>
    </w:lvlOverride>
    <w:lvlOverride w:ilvl="8">
      <w:lvl w:ilvl="8" w:tplc="041F001B" w:tentative="1">
        <w:start w:val="1"/>
        <w:numFmt w:val="lowerRoman"/>
        <w:lvlText w:val="%9."/>
        <w:lvlJc w:val="right"/>
        <w:pPr>
          <w:ind w:left="6480" w:hanging="180"/>
        </w:pPr>
      </w:lvl>
    </w:lvlOverride>
  </w:num>
  <w:num w:numId="18">
    <w:abstractNumId w:val="36"/>
  </w:num>
  <w:num w:numId="19">
    <w:abstractNumId w:val="2"/>
  </w:num>
  <w:num w:numId="20">
    <w:abstractNumId w:val="17"/>
  </w:num>
  <w:num w:numId="21">
    <w:abstractNumId w:val="31"/>
  </w:num>
  <w:num w:numId="22">
    <w:abstractNumId w:val="34"/>
    <w:lvlOverride w:ilvl="0">
      <w:lvl w:ilvl="0" w:tplc="4E0EE5A2">
        <w:start w:val="1"/>
        <w:numFmt w:val="decimal"/>
        <w:suff w:val="space"/>
        <w:lvlText w:val="(%1)"/>
        <w:lvlJc w:val="left"/>
        <w:pPr>
          <w:ind w:left="0" w:firstLine="0"/>
        </w:pPr>
        <w:rPr>
          <w:rFonts w:hint="default"/>
          <w:color w:val="auto"/>
        </w:rPr>
      </w:lvl>
    </w:lvlOverride>
    <w:lvlOverride w:ilvl="1">
      <w:lvl w:ilvl="1" w:tplc="041F0019" w:tentative="1">
        <w:start w:val="1"/>
        <w:numFmt w:val="lowerLetter"/>
        <w:lvlText w:val="%2."/>
        <w:lvlJc w:val="left"/>
        <w:pPr>
          <w:ind w:left="1440" w:hanging="360"/>
        </w:pPr>
      </w:lvl>
    </w:lvlOverride>
    <w:lvlOverride w:ilvl="2">
      <w:lvl w:ilvl="2" w:tplc="041F001B" w:tentative="1">
        <w:start w:val="1"/>
        <w:numFmt w:val="lowerRoman"/>
        <w:lvlText w:val="%3."/>
        <w:lvlJc w:val="right"/>
        <w:pPr>
          <w:ind w:left="2160" w:hanging="180"/>
        </w:pPr>
      </w:lvl>
    </w:lvlOverride>
    <w:lvlOverride w:ilvl="3">
      <w:lvl w:ilvl="3" w:tplc="041F000F" w:tentative="1">
        <w:start w:val="1"/>
        <w:numFmt w:val="decimal"/>
        <w:lvlText w:val="%4."/>
        <w:lvlJc w:val="left"/>
        <w:pPr>
          <w:ind w:left="2880" w:hanging="360"/>
        </w:pPr>
      </w:lvl>
    </w:lvlOverride>
    <w:lvlOverride w:ilvl="4">
      <w:lvl w:ilvl="4" w:tplc="041F0019" w:tentative="1">
        <w:start w:val="1"/>
        <w:numFmt w:val="lowerLetter"/>
        <w:lvlText w:val="%5."/>
        <w:lvlJc w:val="left"/>
        <w:pPr>
          <w:ind w:left="3600" w:hanging="360"/>
        </w:pPr>
      </w:lvl>
    </w:lvlOverride>
    <w:lvlOverride w:ilvl="5">
      <w:lvl w:ilvl="5" w:tplc="041F001B" w:tentative="1">
        <w:start w:val="1"/>
        <w:numFmt w:val="lowerRoman"/>
        <w:lvlText w:val="%6."/>
        <w:lvlJc w:val="right"/>
        <w:pPr>
          <w:ind w:left="4320" w:hanging="180"/>
        </w:pPr>
      </w:lvl>
    </w:lvlOverride>
    <w:lvlOverride w:ilvl="6">
      <w:lvl w:ilvl="6" w:tplc="041F000F" w:tentative="1">
        <w:start w:val="1"/>
        <w:numFmt w:val="decimal"/>
        <w:lvlText w:val="%7."/>
        <w:lvlJc w:val="left"/>
        <w:pPr>
          <w:ind w:left="5040" w:hanging="360"/>
        </w:pPr>
      </w:lvl>
    </w:lvlOverride>
    <w:lvlOverride w:ilvl="7">
      <w:lvl w:ilvl="7" w:tplc="041F0019" w:tentative="1">
        <w:start w:val="1"/>
        <w:numFmt w:val="lowerLetter"/>
        <w:lvlText w:val="%8."/>
        <w:lvlJc w:val="left"/>
        <w:pPr>
          <w:ind w:left="5760" w:hanging="360"/>
        </w:pPr>
      </w:lvl>
    </w:lvlOverride>
    <w:lvlOverride w:ilvl="8">
      <w:lvl w:ilvl="8" w:tplc="041F001B" w:tentative="1">
        <w:start w:val="1"/>
        <w:numFmt w:val="lowerRoman"/>
        <w:lvlText w:val="%9."/>
        <w:lvlJc w:val="right"/>
        <w:pPr>
          <w:ind w:left="6480" w:hanging="180"/>
        </w:pPr>
      </w:lvl>
    </w:lvlOverride>
  </w:num>
  <w:num w:numId="23">
    <w:abstractNumId w:val="15"/>
  </w:num>
  <w:num w:numId="24">
    <w:abstractNumId w:val="19"/>
  </w:num>
  <w:num w:numId="25">
    <w:abstractNumId w:val="41"/>
  </w:num>
  <w:num w:numId="26">
    <w:abstractNumId w:val="35"/>
  </w:num>
  <w:num w:numId="27">
    <w:abstractNumId w:val="12"/>
  </w:num>
  <w:num w:numId="28">
    <w:abstractNumId w:val="18"/>
  </w:num>
  <w:num w:numId="29">
    <w:abstractNumId w:val="6"/>
  </w:num>
  <w:num w:numId="30">
    <w:abstractNumId w:val="14"/>
  </w:num>
  <w:num w:numId="31">
    <w:abstractNumId w:val="11"/>
  </w:num>
  <w:num w:numId="32">
    <w:abstractNumId w:val="11"/>
    <w:lvlOverride w:ilvl="0">
      <w:lvl w:ilvl="0">
        <w:start w:val="1"/>
        <w:numFmt w:val="decimal"/>
        <w:suff w:val="space"/>
        <w:lvlText w:val="(%1)"/>
        <w:lvlJc w:val="left"/>
        <w:pPr>
          <w:ind w:left="0" w:firstLine="0"/>
        </w:pPr>
        <w:rPr>
          <w:rFonts w:hint="default"/>
          <w:b w:val="0"/>
          <w:color w:val="auto"/>
        </w:rPr>
      </w:lvl>
    </w:lvlOverride>
    <w:lvlOverride w:ilvl="1">
      <w:lvl w:ilvl="1">
        <w:start w:val="1"/>
        <w:numFmt w:val="decimal"/>
        <w:lvlText w:val="%1.%2."/>
        <w:lvlJc w:val="left"/>
        <w:pPr>
          <w:ind w:left="0" w:firstLine="0"/>
        </w:pPr>
        <w:rPr>
          <w:rFonts w:hint="default"/>
          <w:b/>
        </w:rPr>
      </w:lvl>
    </w:lvlOverride>
    <w:lvlOverride w:ilvl="2">
      <w:lvl w:ilvl="2">
        <w:start w:val="1"/>
        <w:numFmt w:val="decimal"/>
        <w:lvlText w:val="%1.%2.%3."/>
        <w:lvlJc w:val="left"/>
        <w:pPr>
          <w:ind w:left="0" w:firstLine="0"/>
        </w:pPr>
        <w:rPr>
          <w:rFonts w:hint="default"/>
        </w:rPr>
      </w:lvl>
    </w:lvlOverride>
    <w:lvlOverride w:ilvl="3">
      <w:lvl w:ilvl="3">
        <w:start w:val="1"/>
        <w:numFmt w:val="decimal"/>
        <w:lvlText w:val="%1.%2.%3.%4."/>
        <w:lvlJc w:val="left"/>
        <w:pPr>
          <w:ind w:left="0" w:firstLine="0"/>
        </w:pPr>
        <w:rPr>
          <w:rFonts w:hint="default"/>
        </w:rPr>
      </w:lvl>
    </w:lvlOverride>
    <w:lvlOverride w:ilvl="4">
      <w:lvl w:ilvl="4">
        <w:start w:val="1"/>
        <w:numFmt w:val="decimal"/>
        <w:lvlText w:val="%1.%2.%3.%4.%5."/>
        <w:lvlJc w:val="left"/>
        <w:pPr>
          <w:ind w:left="0" w:firstLine="0"/>
        </w:pPr>
        <w:rPr>
          <w:rFonts w:hint="default"/>
        </w:rPr>
      </w:lvl>
    </w:lvlOverride>
    <w:lvlOverride w:ilvl="5">
      <w:lvl w:ilvl="5">
        <w:start w:val="1"/>
        <w:numFmt w:val="decimal"/>
        <w:lvlText w:val="%1.%2.%3.%4.%5.%6."/>
        <w:lvlJc w:val="left"/>
        <w:pPr>
          <w:ind w:left="0" w:firstLine="0"/>
        </w:pPr>
        <w:rPr>
          <w:rFonts w:hint="default"/>
        </w:rPr>
      </w:lvl>
    </w:lvlOverride>
    <w:lvlOverride w:ilvl="6">
      <w:lvl w:ilvl="6">
        <w:start w:val="1"/>
        <w:numFmt w:val="decimal"/>
        <w:lvlText w:val="%1.%2.%3.%4.%5.%6.%7."/>
        <w:lvlJc w:val="left"/>
        <w:pPr>
          <w:ind w:left="0" w:firstLine="0"/>
        </w:pPr>
        <w:rPr>
          <w:rFonts w:hint="default"/>
        </w:rPr>
      </w:lvl>
    </w:lvlOverride>
    <w:lvlOverride w:ilvl="7">
      <w:lvl w:ilvl="7">
        <w:start w:val="1"/>
        <w:numFmt w:val="decimal"/>
        <w:lvlText w:val="%1.%2.%3.%4.%5.%6.%7.%8."/>
        <w:lvlJc w:val="left"/>
        <w:pPr>
          <w:ind w:left="0" w:firstLine="0"/>
        </w:pPr>
        <w:rPr>
          <w:rFonts w:hint="default"/>
        </w:rPr>
      </w:lvl>
    </w:lvlOverride>
    <w:lvlOverride w:ilvl="8">
      <w:lvl w:ilvl="8">
        <w:start w:val="1"/>
        <w:numFmt w:val="decimal"/>
        <w:lvlText w:val="%1.%2.%3.%4.%5.%6.%7.%8.%9."/>
        <w:lvlJc w:val="left"/>
        <w:pPr>
          <w:ind w:left="0" w:firstLine="0"/>
        </w:pPr>
        <w:rPr>
          <w:rFonts w:hint="default"/>
        </w:rPr>
      </w:lvl>
    </w:lvlOverride>
  </w:num>
  <w:num w:numId="33">
    <w:abstractNumId w:val="4"/>
  </w:num>
  <w:num w:numId="34">
    <w:abstractNumId w:val="3"/>
  </w:num>
  <w:num w:numId="35">
    <w:abstractNumId w:val="0"/>
  </w:num>
  <w:num w:numId="36">
    <w:abstractNumId w:val="27"/>
  </w:num>
  <w:num w:numId="37">
    <w:abstractNumId w:val="3"/>
    <w:lvlOverride w:ilvl="0">
      <w:lvl w:ilvl="0" w:tplc="FAA64D2A">
        <w:start w:val="1"/>
        <mc:AlternateContent>
          <mc:Choice Requires="w14">
            <w:numFmt w:val="custom" w:format="a, ç, ĝ, ..."/>
          </mc:Choice>
          <mc:Fallback>
            <w:numFmt w:val="decimal"/>
          </mc:Fallback>
        </mc:AlternateContent>
        <w:lvlText w:val="%1)"/>
        <w:lvlJc w:val="left"/>
        <w:pPr>
          <w:ind w:left="0" w:firstLine="0"/>
        </w:pPr>
        <w:rPr>
          <w:rFonts w:hint="default"/>
          <w:b/>
        </w:rPr>
      </w:lvl>
    </w:lvlOverride>
    <w:lvlOverride w:ilvl="1">
      <w:lvl w:ilvl="1" w:tplc="041F0019" w:tentative="1">
        <w:start w:val="1"/>
        <w:numFmt w:val="lowerLetter"/>
        <w:lvlText w:val="%2."/>
        <w:lvlJc w:val="left"/>
        <w:pPr>
          <w:ind w:left="1440" w:hanging="360"/>
        </w:pPr>
      </w:lvl>
    </w:lvlOverride>
    <w:lvlOverride w:ilvl="2">
      <w:lvl w:ilvl="2" w:tplc="041F001B" w:tentative="1">
        <w:start w:val="1"/>
        <w:numFmt w:val="lowerRoman"/>
        <w:lvlText w:val="%3."/>
        <w:lvlJc w:val="right"/>
        <w:pPr>
          <w:ind w:left="2160" w:hanging="180"/>
        </w:pPr>
      </w:lvl>
    </w:lvlOverride>
    <w:lvlOverride w:ilvl="3">
      <w:lvl w:ilvl="3" w:tplc="041F000F" w:tentative="1">
        <w:start w:val="1"/>
        <w:numFmt w:val="decimal"/>
        <w:lvlText w:val="%4."/>
        <w:lvlJc w:val="left"/>
        <w:pPr>
          <w:ind w:left="2880" w:hanging="360"/>
        </w:pPr>
      </w:lvl>
    </w:lvlOverride>
    <w:lvlOverride w:ilvl="4">
      <w:lvl w:ilvl="4" w:tplc="041F0019" w:tentative="1">
        <w:start w:val="1"/>
        <w:numFmt w:val="lowerLetter"/>
        <w:lvlText w:val="%5."/>
        <w:lvlJc w:val="left"/>
        <w:pPr>
          <w:ind w:left="3600" w:hanging="360"/>
        </w:pPr>
      </w:lvl>
    </w:lvlOverride>
    <w:lvlOverride w:ilvl="5">
      <w:lvl w:ilvl="5" w:tplc="041F001B" w:tentative="1">
        <w:start w:val="1"/>
        <w:numFmt w:val="lowerRoman"/>
        <w:lvlText w:val="%6."/>
        <w:lvlJc w:val="right"/>
        <w:pPr>
          <w:ind w:left="4320" w:hanging="180"/>
        </w:pPr>
      </w:lvl>
    </w:lvlOverride>
    <w:lvlOverride w:ilvl="6">
      <w:lvl w:ilvl="6" w:tplc="041F000F" w:tentative="1">
        <w:start w:val="1"/>
        <w:numFmt w:val="decimal"/>
        <w:lvlText w:val="%7."/>
        <w:lvlJc w:val="left"/>
        <w:pPr>
          <w:ind w:left="5040" w:hanging="360"/>
        </w:pPr>
      </w:lvl>
    </w:lvlOverride>
    <w:lvlOverride w:ilvl="7">
      <w:lvl w:ilvl="7" w:tplc="041F0019" w:tentative="1">
        <w:start w:val="1"/>
        <w:numFmt w:val="lowerLetter"/>
        <w:lvlText w:val="%8."/>
        <w:lvlJc w:val="left"/>
        <w:pPr>
          <w:ind w:left="5760" w:hanging="360"/>
        </w:pPr>
      </w:lvl>
    </w:lvlOverride>
    <w:lvlOverride w:ilvl="8">
      <w:lvl w:ilvl="8" w:tplc="041F001B" w:tentative="1">
        <w:start w:val="1"/>
        <w:numFmt w:val="lowerRoman"/>
        <w:lvlText w:val="%9."/>
        <w:lvlJc w:val="right"/>
        <w:pPr>
          <w:ind w:left="6480" w:hanging="180"/>
        </w:pPr>
      </w:lvl>
    </w:lvlOverride>
  </w:num>
  <w:num w:numId="38">
    <w:abstractNumId w:val="40"/>
  </w:num>
  <w:num w:numId="39">
    <w:abstractNumId w:val="3"/>
    <w:lvlOverride w:ilvl="0">
      <w:lvl w:ilvl="0" w:tplc="FAA64D2A">
        <w:start w:val="2"/>
        <mc:AlternateContent>
          <mc:Choice Requires="w14">
            <w:numFmt w:val="custom" w:format="a, ç, ĝ, ..."/>
          </mc:Choice>
          <mc:Fallback>
            <w:numFmt w:val="decimal"/>
          </mc:Fallback>
        </mc:AlternateContent>
        <w:lvlText w:val="%1)"/>
        <w:lvlJc w:val="left"/>
        <w:pPr>
          <w:ind w:left="360" w:hanging="360"/>
        </w:pPr>
        <w:rPr>
          <w:rFonts w:hint="default"/>
        </w:rPr>
      </w:lvl>
    </w:lvlOverride>
    <w:lvlOverride w:ilvl="1">
      <w:lvl w:ilvl="1" w:tplc="041F0019" w:tentative="1">
        <w:start w:val="1"/>
        <w:numFmt w:val="lowerLetter"/>
        <w:lvlText w:val="%2."/>
        <w:lvlJc w:val="left"/>
        <w:pPr>
          <w:ind w:left="1440" w:hanging="360"/>
        </w:pPr>
      </w:lvl>
    </w:lvlOverride>
    <w:lvlOverride w:ilvl="2">
      <w:lvl w:ilvl="2" w:tplc="041F001B" w:tentative="1">
        <w:start w:val="1"/>
        <w:numFmt w:val="lowerRoman"/>
        <w:lvlText w:val="%3."/>
        <w:lvlJc w:val="right"/>
        <w:pPr>
          <w:ind w:left="2160" w:hanging="180"/>
        </w:pPr>
      </w:lvl>
    </w:lvlOverride>
    <w:lvlOverride w:ilvl="3">
      <w:lvl w:ilvl="3" w:tplc="041F000F" w:tentative="1">
        <w:start w:val="1"/>
        <w:numFmt w:val="decimal"/>
        <w:lvlText w:val="%4."/>
        <w:lvlJc w:val="left"/>
        <w:pPr>
          <w:ind w:left="2880" w:hanging="360"/>
        </w:pPr>
      </w:lvl>
    </w:lvlOverride>
    <w:lvlOverride w:ilvl="4">
      <w:lvl w:ilvl="4" w:tplc="041F0019" w:tentative="1">
        <w:start w:val="1"/>
        <w:numFmt w:val="lowerLetter"/>
        <w:lvlText w:val="%5."/>
        <w:lvlJc w:val="left"/>
        <w:pPr>
          <w:ind w:left="3600" w:hanging="360"/>
        </w:pPr>
      </w:lvl>
    </w:lvlOverride>
    <w:lvlOverride w:ilvl="5">
      <w:lvl w:ilvl="5" w:tplc="041F001B" w:tentative="1">
        <w:start w:val="1"/>
        <w:numFmt w:val="lowerRoman"/>
        <w:lvlText w:val="%6."/>
        <w:lvlJc w:val="right"/>
        <w:pPr>
          <w:ind w:left="4320" w:hanging="180"/>
        </w:pPr>
      </w:lvl>
    </w:lvlOverride>
    <w:lvlOverride w:ilvl="6">
      <w:lvl w:ilvl="6" w:tplc="041F000F" w:tentative="1">
        <w:start w:val="1"/>
        <w:numFmt w:val="decimal"/>
        <w:lvlText w:val="%7."/>
        <w:lvlJc w:val="left"/>
        <w:pPr>
          <w:ind w:left="5040" w:hanging="360"/>
        </w:pPr>
      </w:lvl>
    </w:lvlOverride>
    <w:lvlOverride w:ilvl="7">
      <w:lvl w:ilvl="7" w:tplc="041F0019" w:tentative="1">
        <w:start w:val="1"/>
        <w:numFmt w:val="lowerLetter"/>
        <w:lvlText w:val="%8."/>
        <w:lvlJc w:val="left"/>
        <w:pPr>
          <w:ind w:left="5760" w:hanging="360"/>
        </w:pPr>
      </w:lvl>
    </w:lvlOverride>
    <w:lvlOverride w:ilvl="8">
      <w:lvl w:ilvl="8" w:tplc="041F001B" w:tentative="1">
        <w:start w:val="1"/>
        <w:numFmt w:val="lowerRoman"/>
        <w:lvlText w:val="%9."/>
        <w:lvlJc w:val="right"/>
        <w:pPr>
          <w:ind w:left="6480" w:hanging="180"/>
        </w:pPr>
      </w:lvl>
    </w:lvlOverride>
  </w:num>
  <w:num w:numId="40">
    <w:abstractNumId w:val="22"/>
  </w:num>
  <w:num w:numId="41">
    <w:abstractNumId w:val="39"/>
  </w:num>
  <w:num w:numId="42">
    <w:abstractNumId w:val="25"/>
  </w:num>
  <w:num w:numId="43">
    <w:abstractNumId w:val="33"/>
  </w:num>
  <w:num w:numId="44">
    <w:abstractNumId w:val="29"/>
  </w:num>
  <w:num w:numId="45">
    <w:abstractNumId w:val="30"/>
  </w:num>
  <w:num w:numId="46">
    <w:abstractNumId w:val="23"/>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53B4"/>
    <w:rsid w:val="000000C4"/>
    <w:rsid w:val="00004084"/>
    <w:rsid w:val="00004B44"/>
    <w:rsid w:val="00004CB4"/>
    <w:rsid w:val="00005B3B"/>
    <w:rsid w:val="00005D2F"/>
    <w:rsid w:val="00007363"/>
    <w:rsid w:val="00007A84"/>
    <w:rsid w:val="00010631"/>
    <w:rsid w:val="000106D8"/>
    <w:rsid w:val="000110EF"/>
    <w:rsid w:val="00011A30"/>
    <w:rsid w:val="0001208E"/>
    <w:rsid w:val="0001231C"/>
    <w:rsid w:val="0001294B"/>
    <w:rsid w:val="000130C6"/>
    <w:rsid w:val="0001335A"/>
    <w:rsid w:val="00014194"/>
    <w:rsid w:val="00014860"/>
    <w:rsid w:val="000177CE"/>
    <w:rsid w:val="000227B6"/>
    <w:rsid w:val="000231EF"/>
    <w:rsid w:val="00024282"/>
    <w:rsid w:val="00024855"/>
    <w:rsid w:val="0002567A"/>
    <w:rsid w:val="000256FA"/>
    <w:rsid w:val="0002639C"/>
    <w:rsid w:val="00026C03"/>
    <w:rsid w:val="00027269"/>
    <w:rsid w:val="0002786F"/>
    <w:rsid w:val="00027B1B"/>
    <w:rsid w:val="00027CCB"/>
    <w:rsid w:val="000301BB"/>
    <w:rsid w:val="0003041C"/>
    <w:rsid w:val="0003065C"/>
    <w:rsid w:val="00031F9A"/>
    <w:rsid w:val="00032B16"/>
    <w:rsid w:val="00033033"/>
    <w:rsid w:val="000333F5"/>
    <w:rsid w:val="000337B5"/>
    <w:rsid w:val="00035781"/>
    <w:rsid w:val="00035E53"/>
    <w:rsid w:val="000361F8"/>
    <w:rsid w:val="000369DD"/>
    <w:rsid w:val="00037E34"/>
    <w:rsid w:val="00040184"/>
    <w:rsid w:val="0004029A"/>
    <w:rsid w:val="0004062E"/>
    <w:rsid w:val="0004126F"/>
    <w:rsid w:val="000414BC"/>
    <w:rsid w:val="00041887"/>
    <w:rsid w:val="00041E67"/>
    <w:rsid w:val="00042AF7"/>
    <w:rsid w:val="0004350B"/>
    <w:rsid w:val="0004363A"/>
    <w:rsid w:val="00043835"/>
    <w:rsid w:val="00043A7C"/>
    <w:rsid w:val="000458E6"/>
    <w:rsid w:val="00046A15"/>
    <w:rsid w:val="00047286"/>
    <w:rsid w:val="00051677"/>
    <w:rsid w:val="00051AFC"/>
    <w:rsid w:val="00052176"/>
    <w:rsid w:val="0005271A"/>
    <w:rsid w:val="00053A79"/>
    <w:rsid w:val="00054B69"/>
    <w:rsid w:val="000579F4"/>
    <w:rsid w:val="00060717"/>
    <w:rsid w:val="0006081E"/>
    <w:rsid w:val="00060CA0"/>
    <w:rsid w:val="00060EBB"/>
    <w:rsid w:val="000623C2"/>
    <w:rsid w:val="00062F33"/>
    <w:rsid w:val="00063010"/>
    <w:rsid w:val="00063874"/>
    <w:rsid w:val="00063CE9"/>
    <w:rsid w:val="00064C3F"/>
    <w:rsid w:val="00064D0D"/>
    <w:rsid w:val="00065FD9"/>
    <w:rsid w:val="00066A65"/>
    <w:rsid w:val="00066CF7"/>
    <w:rsid w:val="000701EA"/>
    <w:rsid w:val="00070592"/>
    <w:rsid w:val="00070D4E"/>
    <w:rsid w:val="00071674"/>
    <w:rsid w:val="00071D4E"/>
    <w:rsid w:val="0007244E"/>
    <w:rsid w:val="00072A10"/>
    <w:rsid w:val="000730CE"/>
    <w:rsid w:val="00073291"/>
    <w:rsid w:val="00073BEA"/>
    <w:rsid w:val="00074E4F"/>
    <w:rsid w:val="000752DE"/>
    <w:rsid w:val="00075488"/>
    <w:rsid w:val="0007675E"/>
    <w:rsid w:val="00076D56"/>
    <w:rsid w:val="000800E4"/>
    <w:rsid w:val="000805B6"/>
    <w:rsid w:val="00081183"/>
    <w:rsid w:val="00084D4C"/>
    <w:rsid w:val="000864F9"/>
    <w:rsid w:val="00086539"/>
    <w:rsid w:val="00086969"/>
    <w:rsid w:val="00087117"/>
    <w:rsid w:val="00091D34"/>
    <w:rsid w:val="000927EB"/>
    <w:rsid w:val="00093644"/>
    <w:rsid w:val="0009613B"/>
    <w:rsid w:val="0009641D"/>
    <w:rsid w:val="00096CBC"/>
    <w:rsid w:val="00096F17"/>
    <w:rsid w:val="000A0714"/>
    <w:rsid w:val="000A085F"/>
    <w:rsid w:val="000A0866"/>
    <w:rsid w:val="000A0AF6"/>
    <w:rsid w:val="000A0FD7"/>
    <w:rsid w:val="000A18FA"/>
    <w:rsid w:val="000A2875"/>
    <w:rsid w:val="000A462E"/>
    <w:rsid w:val="000A475F"/>
    <w:rsid w:val="000A4AFA"/>
    <w:rsid w:val="000A6A16"/>
    <w:rsid w:val="000A6E2F"/>
    <w:rsid w:val="000B0D01"/>
    <w:rsid w:val="000B227B"/>
    <w:rsid w:val="000B285A"/>
    <w:rsid w:val="000B3FCC"/>
    <w:rsid w:val="000B63EC"/>
    <w:rsid w:val="000B642C"/>
    <w:rsid w:val="000B6D0E"/>
    <w:rsid w:val="000B75B6"/>
    <w:rsid w:val="000C0B54"/>
    <w:rsid w:val="000C121B"/>
    <w:rsid w:val="000C1984"/>
    <w:rsid w:val="000C1B85"/>
    <w:rsid w:val="000C1D25"/>
    <w:rsid w:val="000C272D"/>
    <w:rsid w:val="000C5AE6"/>
    <w:rsid w:val="000C5CEC"/>
    <w:rsid w:val="000C5EC4"/>
    <w:rsid w:val="000C6520"/>
    <w:rsid w:val="000C6B63"/>
    <w:rsid w:val="000C6D16"/>
    <w:rsid w:val="000C7288"/>
    <w:rsid w:val="000C75DB"/>
    <w:rsid w:val="000C7AC5"/>
    <w:rsid w:val="000C7D7D"/>
    <w:rsid w:val="000D2B13"/>
    <w:rsid w:val="000D2F95"/>
    <w:rsid w:val="000D38D3"/>
    <w:rsid w:val="000D486C"/>
    <w:rsid w:val="000D7185"/>
    <w:rsid w:val="000D73A8"/>
    <w:rsid w:val="000E015E"/>
    <w:rsid w:val="000E18FF"/>
    <w:rsid w:val="000E1B2D"/>
    <w:rsid w:val="000E1D56"/>
    <w:rsid w:val="000E1E33"/>
    <w:rsid w:val="000E1F7C"/>
    <w:rsid w:val="000E2980"/>
    <w:rsid w:val="000E3251"/>
    <w:rsid w:val="000E36E1"/>
    <w:rsid w:val="000E399F"/>
    <w:rsid w:val="000E3D69"/>
    <w:rsid w:val="000E74A6"/>
    <w:rsid w:val="000F1245"/>
    <w:rsid w:val="000F277D"/>
    <w:rsid w:val="000F49EB"/>
    <w:rsid w:val="000F4AB7"/>
    <w:rsid w:val="000F506B"/>
    <w:rsid w:val="000F53B8"/>
    <w:rsid w:val="000F54DB"/>
    <w:rsid w:val="000F55BE"/>
    <w:rsid w:val="000F5A52"/>
    <w:rsid w:val="000F680B"/>
    <w:rsid w:val="000F77FC"/>
    <w:rsid w:val="000F7962"/>
    <w:rsid w:val="000F7D99"/>
    <w:rsid w:val="000F7E35"/>
    <w:rsid w:val="00100908"/>
    <w:rsid w:val="00101D28"/>
    <w:rsid w:val="00101E3F"/>
    <w:rsid w:val="00102AE3"/>
    <w:rsid w:val="0010327E"/>
    <w:rsid w:val="00103396"/>
    <w:rsid w:val="00103E40"/>
    <w:rsid w:val="001043E4"/>
    <w:rsid w:val="00104601"/>
    <w:rsid w:val="001046E6"/>
    <w:rsid w:val="001065DA"/>
    <w:rsid w:val="00106A4D"/>
    <w:rsid w:val="001070E0"/>
    <w:rsid w:val="0010745C"/>
    <w:rsid w:val="001105A1"/>
    <w:rsid w:val="001109DF"/>
    <w:rsid w:val="00111B27"/>
    <w:rsid w:val="00111B3D"/>
    <w:rsid w:val="00111B9F"/>
    <w:rsid w:val="00113614"/>
    <w:rsid w:val="00113A42"/>
    <w:rsid w:val="00113FAF"/>
    <w:rsid w:val="00115680"/>
    <w:rsid w:val="00115F87"/>
    <w:rsid w:val="001161E3"/>
    <w:rsid w:val="001164F2"/>
    <w:rsid w:val="00117424"/>
    <w:rsid w:val="00120A54"/>
    <w:rsid w:val="00120B75"/>
    <w:rsid w:val="001218AE"/>
    <w:rsid w:val="0012194D"/>
    <w:rsid w:val="00121E0B"/>
    <w:rsid w:val="001227AC"/>
    <w:rsid w:val="00122A5B"/>
    <w:rsid w:val="00122CF8"/>
    <w:rsid w:val="00123A08"/>
    <w:rsid w:val="00124961"/>
    <w:rsid w:val="00125C56"/>
    <w:rsid w:val="001260B8"/>
    <w:rsid w:val="001261CA"/>
    <w:rsid w:val="00126FE7"/>
    <w:rsid w:val="001272E3"/>
    <w:rsid w:val="001273DA"/>
    <w:rsid w:val="00127D97"/>
    <w:rsid w:val="00127FF6"/>
    <w:rsid w:val="0013054A"/>
    <w:rsid w:val="00130E70"/>
    <w:rsid w:val="001315B7"/>
    <w:rsid w:val="001318E0"/>
    <w:rsid w:val="00131BEC"/>
    <w:rsid w:val="00132547"/>
    <w:rsid w:val="00134F49"/>
    <w:rsid w:val="00135F1E"/>
    <w:rsid w:val="0013610A"/>
    <w:rsid w:val="00136E8B"/>
    <w:rsid w:val="0013723E"/>
    <w:rsid w:val="00137809"/>
    <w:rsid w:val="00140214"/>
    <w:rsid w:val="00141020"/>
    <w:rsid w:val="0014181B"/>
    <w:rsid w:val="001418A2"/>
    <w:rsid w:val="00142394"/>
    <w:rsid w:val="00143B92"/>
    <w:rsid w:val="0014444B"/>
    <w:rsid w:val="00146A26"/>
    <w:rsid w:val="00146A56"/>
    <w:rsid w:val="001472FB"/>
    <w:rsid w:val="00150B16"/>
    <w:rsid w:val="0015174C"/>
    <w:rsid w:val="00153042"/>
    <w:rsid w:val="00156F01"/>
    <w:rsid w:val="00157921"/>
    <w:rsid w:val="0016016F"/>
    <w:rsid w:val="00160749"/>
    <w:rsid w:val="00160C81"/>
    <w:rsid w:val="00160DE1"/>
    <w:rsid w:val="001629A7"/>
    <w:rsid w:val="00163814"/>
    <w:rsid w:val="00164C01"/>
    <w:rsid w:val="00164F6D"/>
    <w:rsid w:val="001665EC"/>
    <w:rsid w:val="0016688D"/>
    <w:rsid w:val="0016698E"/>
    <w:rsid w:val="001673CE"/>
    <w:rsid w:val="001710FD"/>
    <w:rsid w:val="00171617"/>
    <w:rsid w:val="001719D9"/>
    <w:rsid w:val="001720A6"/>
    <w:rsid w:val="001726E0"/>
    <w:rsid w:val="00174066"/>
    <w:rsid w:val="00175955"/>
    <w:rsid w:val="00175C4D"/>
    <w:rsid w:val="00175D6A"/>
    <w:rsid w:val="00176606"/>
    <w:rsid w:val="001772FC"/>
    <w:rsid w:val="00177CA3"/>
    <w:rsid w:val="001801C9"/>
    <w:rsid w:val="0018034B"/>
    <w:rsid w:val="00180394"/>
    <w:rsid w:val="00180CC1"/>
    <w:rsid w:val="00181017"/>
    <w:rsid w:val="00182D35"/>
    <w:rsid w:val="00183DE2"/>
    <w:rsid w:val="00184103"/>
    <w:rsid w:val="00184228"/>
    <w:rsid w:val="0018510A"/>
    <w:rsid w:val="00187EA3"/>
    <w:rsid w:val="001900B6"/>
    <w:rsid w:val="00190A61"/>
    <w:rsid w:val="0019124C"/>
    <w:rsid w:val="00192EF9"/>
    <w:rsid w:val="001930E7"/>
    <w:rsid w:val="0019393A"/>
    <w:rsid w:val="00194C68"/>
    <w:rsid w:val="00195169"/>
    <w:rsid w:val="00197376"/>
    <w:rsid w:val="00197447"/>
    <w:rsid w:val="00197937"/>
    <w:rsid w:val="001A0DF1"/>
    <w:rsid w:val="001A16A4"/>
    <w:rsid w:val="001A18DB"/>
    <w:rsid w:val="001A1D45"/>
    <w:rsid w:val="001A2414"/>
    <w:rsid w:val="001A3D1F"/>
    <w:rsid w:val="001A3D73"/>
    <w:rsid w:val="001A3FC1"/>
    <w:rsid w:val="001A434C"/>
    <w:rsid w:val="001A4B9E"/>
    <w:rsid w:val="001A7C97"/>
    <w:rsid w:val="001B05DD"/>
    <w:rsid w:val="001B15EA"/>
    <w:rsid w:val="001B16A3"/>
    <w:rsid w:val="001B2827"/>
    <w:rsid w:val="001B2CA4"/>
    <w:rsid w:val="001B4277"/>
    <w:rsid w:val="001B745A"/>
    <w:rsid w:val="001B7640"/>
    <w:rsid w:val="001C1582"/>
    <w:rsid w:val="001C1915"/>
    <w:rsid w:val="001C2555"/>
    <w:rsid w:val="001C538C"/>
    <w:rsid w:val="001C5795"/>
    <w:rsid w:val="001C68D8"/>
    <w:rsid w:val="001C71BE"/>
    <w:rsid w:val="001C75CA"/>
    <w:rsid w:val="001D2499"/>
    <w:rsid w:val="001D3BD4"/>
    <w:rsid w:val="001D4AE5"/>
    <w:rsid w:val="001D5D33"/>
    <w:rsid w:val="001D6704"/>
    <w:rsid w:val="001D6E02"/>
    <w:rsid w:val="001D7B62"/>
    <w:rsid w:val="001E0586"/>
    <w:rsid w:val="001E1893"/>
    <w:rsid w:val="001E19A9"/>
    <w:rsid w:val="001E4A19"/>
    <w:rsid w:val="001E6446"/>
    <w:rsid w:val="001E74CA"/>
    <w:rsid w:val="001F0870"/>
    <w:rsid w:val="001F199C"/>
    <w:rsid w:val="001F31C4"/>
    <w:rsid w:val="001F4DC4"/>
    <w:rsid w:val="001F65D4"/>
    <w:rsid w:val="001F6947"/>
    <w:rsid w:val="001F7255"/>
    <w:rsid w:val="001F782E"/>
    <w:rsid w:val="002012E7"/>
    <w:rsid w:val="00202339"/>
    <w:rsid w:val="00203009"/>
    <w:rsid w:val="002040B7"/>
    <w:rsid w:val="002047A2"/>
    <w:rsid w:val="00205CBD"/>
    <w:rsid w:val="002060CA"/>
    <w:rsid w:val="0020621E"/>
    <w:rsid w:val="00206FBD"/>
    <w:rsid w:val="00207F45"/>
    <w:rsid w:val="0021033C"/>
    <w:rsid w:val="00210D55"/>
    <w:rsid w:val="00210E2D"/>
    <w:rsid w:val="002129E3"/>
    <w:rsid w:val="00212C42"/>
    <w:rsid w:val="00212F0F"/>
    <w:rsid w:val="00213017"/>
    <w:rsid w:val="00213732"/>
    <w:rsid w:val="00213A27"/>
    <w:rsid w:val="00213AEE"/>
    <w:rsid w:val="0021482D"/>
    <w:rsid w:val="0021669B"/>
    <w:rsid w:val="002210A1"/>
    <w:rsid w:val="00221659"/>
    <w:rsid w:val="002219C9"/>
    <w:rsid w:val="00224F95"/>
    <w:rsid w:val="00225441"/>
    <w:rsid w:val="002259EF"/>
    <w:rsid w:val="00225C8A"/>
    <w:rsid w:val="00227002"/>
    <w:rsid w:val="00227035"/>
    <w:rsid w:val="0023079B"/>
    <w:rsid w:val="00230C3D"/>
    <w:rsid w:val="00230F83"/>
    <w:rsid w:val="002319A7"/>
    <w:rsid w:val="00231C3B"/>
    <w:rsid w:val="00232011"/>
    <w:rsid w:val="002328F5"/>
    <w:rsid w:val="002333ED"/>
    <w:rsid w:val="00233467"/>
    <w:rsid w:val="00233EA4"/>
    <w:rsid w:val="00234AF2"/>
    <w:rsid w:val="00234CF9"/>
    <w:rsid w:val="002351AF"/>
    <w:rsid w:val="002351F2"/>
    <w:rsid w:val="00235558"/>
    <w:rsid w:val="00236173"/>
    <w:rsid w:val="00240D33"/>
    <w:rsid w:val="00240D49"/>
    <w:rsid w:val="002424AF"/>
    <w:rsid w:val="00242786"/>
    <w:rsid w:val="00242F1E"/>
    <w:rsid w:val="002442FE"/>
    <w:rsid w:val="0024449E"/>
    <w:rsid w:val="0024515D"/>
    <w:rsid w:val="00246218"/>
    <w:rsid w:val="00246C04"/>
    <w:rsid w:val="0025004E"/>
    <w:rsid w:val="0025014A"/>
    <w:rsid w:val="00250E49"/>
    <w:rsid w:val="00251640"/>
    <w:rsid w:val="00254A82"/>
    <w:rsid w:val="00254BB6"/>
    <w:rsid w:val="0025529F"/>
    <w:rsid w:val="00256365"/>
    <w:rsid w:val="002571F9"/>
    <w:rsid w:val="00257432"/>
    <w:rsid w:val="00260CE0"/>
    <w:rsid w:val="00261160"/>
    <w:rsid w:val="00261CB9"/>
    <w:rsid w:val="00262467"/>
    <w:rsid w:val="002625B2"/>
    <w:rsid w:val="00263049"/>
    <w:rsid w:val="00263567"/>
    <w:rsid w:val="00265031"/>
    <w:rsid w:val="00267332"/>
    <w:rsid w:val="00267417"/>
    <w:rsid w:val="0026750E"/>
    <w:rsid w:val="002719B0"/>
    <w:rsid w:val="002729DB"/>
    <w:rsid w:val="00272E1D"/>
    <w:rsid w:val="00272FBB"/>
    <w:rsid w:val="002741C6"/>
    <w:rsid w:val="0027482C"/>
    <w:rsid w:val="00274AFD"/>
    <w:rsid w:val="00276313"/>
    <w:rsid w:val="002772A7"/>
    <w:rsid w:val="002776CA"/>
    <w:rsid w:val="00282348"/>
    <w:rsid w:val="00282DE1"/>
    <w:rsid w:val="002834F0"/>
    <w:rsid w:val="00283B09"/>
    <w:rsid w:val="00284051"/>
    <w:rsid w:val="00285465"/>
    <w:rsid w:val="00285A9A"/>
    <w:rsid w:val="0028701B"/>
    <w:rsid w:val="0028714E"/>
    <w:rsid w:val="00290585"/>
    <w:rsid w:val="002908BA"/>
    <w:rsid w:val="0029141B"/>
    <w:rsid w:val="00291B6A"/>
    <w:rsid w:val="00291F05"/>
    <w:rsid w:val="002927CB"/>
    <w:rsid w:val="00292AED"/>
    <w:rsid w:val="002930E6"/>
    <w:rsid w:val="002945E2"/>
    <w:rsid w:val="00295161"/>
    <w:rsid w:val="0029580A"/>
    <w:rsid w:val="0029582A"/>
    <w:rsid w:val="00297B56"/>
    <w:rsid w:val="002A10D2"/>
    <w:rsid w:val="002A2572"/>
    <w:rsid w:val="002A2923"/>
    <w:rsid w:val="002A2E1A"/>
    <w:rsid w:val="002A36D2"/>
    <w:rsid w:val="002A3E89"/>
    <w:rsid w:val="002A4D9C"/>
    <w:rsid w:val="002A5A04"/>
    <w:rsid w:val="002A6159"/>
    <w:rsid w:val="002A63C9"/>
    <w:rsid w:val="002A7AE3"/>
    <w:rsid w:val="002A7C6B"/>
    <w:rsid w:val="002B0B34"/>
    <w:rsid w:val="002B1903"/>
    <w:rsid w:val="002B1DD0"/>
    <w:rsid w:val="002B3010"/>
    <w:rsid w:val="002B35D5"/>
    <w:rsid w:val="002B5505"/>
    <w:rsid w:val="002B55FB"/>
    <w:rsid w:val="002B6B93"/>
    <w:rsid w:val="002B7744"/>
    <w:rsid w:val="002C0352"/>
    <w:rsid w:val="002C0AD0"/>
    <w:rsid w:val="002C0C85"/>
    <w:rsid w:val="002C11E3"/>
    <w:rsid w:val="002C2361"/>
    <w:rsid w:val="002C3AFC"/>
    <w:rsid w:val="002C465B"/>
    <w:rsid w:val="002C4BD9"/>
    <w:rsid w:val="002C4F58"/>
    <w:rsid w:val="002C5198"/>
    <w:rsid w:val="002C558D"/>
    <w:rsid w:val="002C6137"/>
    <w:rsid w:val="002C71E8"/>
    <w:rsid w:val="002C7C89"/>
    <w:rsid w:val="002D0A44"/>
    <w:rsid w:val="002D0CAD"/>
    <w:rsid w:val="002D0EA1"/>
    <w:rsid w:val="002D1383"/>
    <w:rsid w:val="002D16D0"/>
    <w:rsid w:val="002D32F9"/>
    <w:rsid w:val="002D402C"/>
    <w:rsid w:val="002D4136"/>
    <w:rsid w:val="002D4335"/>
    <w:rsid w:val="002D4348"/>
    <w:rsid w:val="002D533C"/>
    <w:rsid w:val="002D5430"/>
    <w:rsid w:val="002D578A"/>
    <w:rsid w:val="002D6AAD"/>
    <w:rsid w:val="002E0B36"/>
    <w:rsid w:val="002E13B9"/>
    <w:rsid w:val="002E1861"/>
    <w:rsid w:val="002E1BC2"/>
    <w:rsid w:val="002E387F"/>
    <w:rsid w:val="002E507B"/>
    <w:rsid w:val="002E5598"/>
    <w:rsid w:val="002E5E50"/>
    <w:rsid w:val="002E6312"/>
    <w:rsid w:val="002E6842"/>
    <w:rsid w:val="002E6D93"/>
    <w:rsid w:val="002E7221"/>
    <w:rsid w:val="002F0038"/>
    <w:rsid w:val="002F0125"/>
    <w:rsid w:val="002F1DCB"/>
    <w:rsid w:val="002F2095"/>
    <w:rsid w:val="002F22D1"/>
    <w:rsid w:val="002F2385"/>
    <w:rsid w:val="002F3BBE"/>
    <w:rsid w:val="002F456C"/>
    <w:rsid w:val="002F46F9"/>
    <w:rsid w:val="002F4F06"/>
    <w:rsid w:val="002F5207"/>
    <w:rsid w:val="002F54E1"/>
    <w:rsid w:val="002F6336"/>
    <w:rsid w:val="00300082"/>
    <w:rsid w:val="00301AE8"/>
    <w:rsid w:val="00302A5A"/>
    <w:rsid w:val="00302BB8"/>
    <w:rsid w:val="00302ECF"/>
    <w:rsid w:val="00303305"/>
    <w:rsid w:val="00304083"/>
    <w:rsid w:val="00304160"/>
    <w:rsid w:val="0030622C"/>
    <w:rsid w:val="00310536"/>
    <w:rsid w:val="00312AC1"/>
    <w:rsid w:val="003158AB"/>
    <w:rsid w:val="00316785"/>
    <w:rsid w:val="00316A8C"/>
    <w:rsid w:val="00316A9A"/>
    <w:rsid w:val="00316B8F"/>
    <w:rsid w:val="00317263"/>
    <w:rsid w:val="003174B5"/>
    <w:rsid w:val="00317549"/>
    <w:rsid w:val="0031764C"/>
    <w:rsid w:val="0031782D"/>
    <w:rsid w:val="00317B9A"/>
    <w:rsid w:val="003204EB"/>
    <w:rsid w:val="0032061E"/>
    <w:rsid w:val="003209A4"/>
    <w:rsid w:val="00321D50"/>
    <w:rsid w:val="00322A6B"/>
    <w:rsid w:val="00323AFB"/>
    <w:rsid w:val="00323D5A"/>
    <w:rsid w:val="00324B30"/>
    <w:rsid w:val="00324BE9"/>
    <w:rsid w:val="0032738E"/>
    <w:rsid w:val="0032768D"/>
    <w:rsid w:val="00330D8D"/>
    <w:rsid w:val="0033261C"/>
    <w:rsid w:val="00332E4D"/>
    <w:rsid w:val="00332E8F"/>
    <w:rsid w:val="00332FAB"/>
    <w:rsid w:val="0033368C"/>
    <w:rsid w:val="00333718"/>
    <w:rsid w:val="00335CA7"/>
    <w:rsid w:val="00335E53"/>
    <w:rsid w:val="00336729"/>
    <w:rsid w:val="00337E87"/>
    <w:rsid w:val="00340300"/>
    <w:rsid w:val="00340765"/>
    <w:rsid w:val="00340BC0"/>
    <w:rsid w:val="00340E0E"/>
    <w:rsid w:val="003435D1"/>
    <w:rsid w:val="0034363C"/>
    <w:rsid w:val="00343E87"/>
    <w:rsid w:val="0034517E"/>
    <w:rsid w:val="003463AF"/>
    <w:rsid w:val="00346E0F"/>
    <w:rsid w:val="00346E2A"/>
    <w:rsid w:val="0034756F"/>
    <w:rsid w:val="00347A56"/>
    <w:rsid w:val="00347CE2"/>
    <w:rsid w:val="00350704"/>
    <w:rsid w:val="00350B3C"/>
    <w:rsid w:val="00350E66"/>
    <w:rsid w:val="0035127D"/>
    <w:rsid w:val="00352CC1"/>
    <w:rsid w:val="00353458"/>
    <w:rsid w:val="00353937"/>
    <w:rsid w:val="003541D1"/>
    <w:rsid w:val="0035491A"/>
    <w:rsid w:val="00354FC2"/>
    <w:rsid w:val="0035529F"/>
    <w:rsid w:val="00355A04"/>
    <w:rsid w:val="00356136"/>
    <w:rsid w:val="003564F5"/>
    <w:rsid w:val="00356727"/>
    <w:rsid w:val="00356BA9"/>
    <w:rsid w:val="00360315"/>
    <w:rsid w:val="00360A9F"/>
    <w:rsid w:val="00361DCB"/>
    <w:rsid w:val="00361EDD"/>
    <w:rsid w:val="00362293"/>
    <w:rsid w:val="0036411C"/>
    <w:rsid w:val="003658EB"/>
    <w:rsid w:val="003677EB"/>
    <w:rsid w:val="003716D0"/>
    <w:rsid w:val="003741A8"/>
    <w:rsid w:val="00374297"/>
    <w:rsid w:val="00374660"/>
    <w:rsid w:val="00375216"/>
    <w:rsid w:val="0037534A"/>
    <w:rsid w:val="00375941"/>
    <w:rsid w:val="00375E0F"/>
    <w:rsid w:val="003766A3"/>
    <w:rsid w:val="00376A37"/>
    <w:rsid w:val="00377682"/>
    <w:rsid w:val="0038077E"/>
    <w:rsid w:val="00380A25"/>
    <w:rsid w:val="00380A7B"/>
    <w:rsid w:val="00381140"/>
    <w:rsid w:val="003834C1"/>
    <w:rsid w:val="00383F7B"/>
    <w:rsid w:val="003843B0"/>
    <w:rsid w:val="003847BD"/>
    <w:rsid w:val="0038522E"/>
    <w:rsid w:val="0038526B"/>
    <w:rsid w:val="00385B23"/>
    <w:rsid w:val="00385FE9"/>
    <w:rsid w:val="003863F1"/>
    <w:rsid w:val="00386963"/>
    <w:rsid w:val="0038714C"/>
    <w:rsid w:val="00387992"/>
    <w:rsid w:val="00387A5E"/>
    <w:rsid w:val="00390476"/>
    <w:rsid w:val="00390740"/>
    <w:rsid w:val="00391B99"/>
    <w:rsid w:val="00391F21"/>
    <w:rsid w:val="003920EF"/>
    <w:rsid w:val="0039226C"/>
    <w:rsid w:val="003927EB"/>
    <w:rsid w:val="00392D55"/>
    <w:rsid w:val="00393055"/>
    <w:rsid w:val="003930A6"/>
    <w:rsid w:val="00394612"/>
    <w:rsid w:val="003952F1"/>
    <w:rsid w:val="00397C2F"/>
    <w:rsid w:val="003A09D3"/>
    <w:rsid w:val="003A0DFD"/>
    <w:rsid w:val="003A1101"/>
    <w:rsid w:val="003A1170"/>
    <w:rsid w:val="003A215F"/>
    <w:rsid w:val="003A2192"/>
    <w:rsid w:val="003A3800"/>
    <w:rsid w:val="003A4581"/>
    <w:rsid w:val="003A4B2C"/>
    <w:rsid w:val="003A5437"/>
    <w:rsid w:val="003A65E1"/>
    <w:rsid w:val="003A663C"/>
    <w:rsid w:val="003B00F5"/>
    <w:rsid w:val="003B257E"/>
    <w:rsid w:val="003B2F57"/>
    <w:rsid w:val="003B3198"/>
    <w:rsid w:val="003B33BC"/>
    <w:rsid w:val="003B38EC"/>
    <w:rsid w:val="003B3C80"/>
    <w:rsid w:val="003B4066"/>
    <w:rsid w:val="003B4479"/>
    <w:rsid w:val="003B49BC"/>
    <w:rsid w:val="003B4C68"/>
    <w:rsid w:val="003B642D"/>
    <w:rsid w:val="003B6869"/>
    <w:rsid w:val="003B6FA9"/>
    <w:rsid w:val="003B7BB0"/>
    <w:rsid w:val="003B7D79"/>
    <w:rsid w:val="003C0F91"/>
    <w:rsid w:val="003C184D"/>
    <w:rsid w:val="003C1B66"/>
    <w:rsid w:val="003C4880"/>
    <w:rsid w:val="003C51F1"/>
    <w:rsid w:val="003C5B4A"/>
    <w:rsid w:val="003C632E"/>
    <w:rsid w:val="003C65E4"/>
    <w:rsid w:val="003C6882"/>
    <w:rsid w:val="003C6D79"/>
    <w:rsid w:val="003C7403"/>
    <w:rsid w:val="003C77B6"/>
    <w:rsid w:val="003C7CD4"/>
    <w:rsid w:val="003D1BC4"/>
    <w:rsid w:val="003D2AB4"/>
    <w:rsid w:val="003D386F"/>
    <w:rsid w:val="003D4704"/>
    <w:rsid w:val="003D5FA7"/>
    <w:rsid w:val="003D6305"/>
    <w:rsid w:val="003D6DDA"/>
    <w:rsid w:val="003E0AEB"/>
    <w:rsid w:val="003E1A42"/>
    <w:rsid w:val="003E32B3"/>
    <w:rsid w:val="003E3907"/>
    <w:rsid w:val="003E4AF4"/>
    <w:rsid w:val="003E4E0A"/>
    <w:rsid w:val="003E50AB"/>
    <w:rsid w:val="003E5F74"/>
    <w:rsid w:val="003E6B57"/>
    <w:rsid w:val="003E7A4A"/>
    <w:rsid w:val="003E7B9C"/>
    <w:rsid w:val="003F0EAB"/>
    <w:rsid w:val="003F0FBB"/>
    <w:rsid w:val="003F0FDC"/>
    <w:rsid w:val="003F1A0B"/>
    <w:rsid w:val="003F1D96"/>
    <w:rsid w:val="003F2E32"/>
    <w:rsid w:val="003F3605"/>
    <w:rsid w:val="003F4ABE"/>
    <w:rsid w:val="003F5598"/>
    <w:rsid w:val="003F5BB5"/>
    <w:rsid w:val="003F613D"/>
    <w:rsid w:val="003F6D33"/>
    <w:rsid w:val="00400350"/>
    <w:rsid w:val="00400539"/>
    <w:rsid w:val="004016AC"/>
    <w:rsid w:val="004017DA"/>
    <w:rsid w:val="0040360B"/>
    <w:rsid w:val="0040442A"/>
    <w:rsid w:val="00406235"/>
    <w:rsid w:val="0040748D"/>
    <w:rsid w:val="00407E83"/>
    <w:rsid w:val="004103A9"/>
    <w:rsid w:val="00414100"/>
    <w:rsid w:val="00415E04"/>
    <w:rsid w:val="00415EA1"/>
    <w:rsid w:val="00416783"/>
    <w:rsid w:val="0041710E"/>
    <w:rsid w:val="00417C4B"/>
    <w:rsid w:val="004200AB"/>
    <w:rsid w:val="004215DB"/>
    <w:rsid w:val="00421663"/>
    <w:rsid w:val="00422CD9"/>
    <w:rsid w:val="00422ED8"/>
    <w:rsid w:val="00423166"/>
    <w:rsid w:val="0042337C"/>
    <w:rsid w:val="00424929"/>
    <w:rsid w:val="0042741C"/>
    <w:rsid w:val="00427F37"/>
    <w:rsid w:val="00431A36"/>
    <w:rsid w:val="00431E47"/>
    <w:rsid w:val="00432A12"/>
    <w:rsid w:val="00433786"/>
    <w:rsid w:val="004337C3"/>
    <w:rsid w:val="004347E0"/>
    <w:rsid w:val="004352D1"/>
    <w:rsid w:val="0043590F"/>
    <w:rsid w:val="00435F13"/>
    <w:rsid w:val="0043686F"/>
    <w:rsid w:val="00437046"/>
    <w:rsid w:val="00440AC4"/>
    <w:rsid w:val="00440D88"/>
    <w:rsid w:val="00441AAE"/>
    <w:rsid w:val="004423BA"/>
    <w:rsid w:val="00442F7D"/>
    <w:rsid w:val="00443087"/>
    <w:rsid w:val="00443382"/>
    <w:rsid w:val="00444603"/>
    <w:rsid w:val="0044543E"/>
    <w:rsid w:val="00447075"/>
    <w:rsid w:val="004470E1"/>
    <w:rsid w:val="00447828"/>
    <w:rsid w:val="00450C7A"/>
    <w:rsid w:val="00452B27"/>
    <w:rsid w:val="004544AA"/>
    <w:rsid w:val="0045469B"/>
    <w:rsid w:val="00454F0B"/>
    <w:rsid w:val="00456D5E"/>
    <w:rsid w:val="00456F52"/>
    <w:rsid w:val="00457D58"/>
    <w:rsid w:val="00460543"/>
    <w:rsid w:val="0046238C"/>
    <w:rsid w:val="00462755"/>
    <w:rsid w:val="00462897"/>
    <w:rsid w:val="00462910"/>
    <w:rsid w:val="00464266"/>
    <w:rsid w:val="0046542F"/>
    <w:rsid w:val="00465F64"/>
    <w:rsid w:val="00466115"/>
    <w:rsid w:val="0046633D"/>
    <w:rsid w:val="0046785C"/>
    <w:rsid w:val="004679B7"/>
    <w:rsid w:val="00467F9D"/>
    <w:rsid w:val="00471321"/>
    <w:rsid w:val="0047180A"/>
    <w:rsid w:val="00471907"/>
    <w:rsid w:val="00472F07"/>
    <w:rsid w:val="004739AD"/>
    <w:rsid w:val="004744F2"/>
    <w:rsid w:val="00475932"/>
    <w:rsid w:val="00476EAA"/>
    <w:rsid w:val="0047713C"/>
    <w:rsid w:val="00481874"/>
    <w:rsid w:val="00481FBC"/>
    <w:rsid w:val="00483731"/>
    <w:rsid w:val="00483C07"/>
    <w:rsid w:val="004846FB"/>
    <w:rsid w:val="0048481D"/>
    <w:rsid w:val="004851C6"/>
    <w:rsid w:val="00485989"/>
    <w:rsid w:val="00486196"/>
    <w:rsid w:val="004861E9"/>
    <w:rsid w:val="0049159F"/>
    <w:rsid w:val="00491B97"/>
    <w:rsid w:val="004928B2"/>
    <w:rsid w:val="00493224"/>
    <w:rsid w:val="00494319"/>
    <w:rsid w:val="00494813"/>
    <w:rsid w:val="00494996"/>
    <w:rsid w:val="00494A92"/>
    <w:rsid w:val="00494D2D"/>
    <w:rsid w:val="00494F78"/>
    <w:rsid w:val="004956BE"/>
    <w:rsid w:val="004A0ADC"/>
    <w:rsid w:val="004A19B7"/>
    <w:rsid w:val="004A2102"/>
    <w:rsid w:val="004A255C"/>
    <w:rsid w:val="004A4BB3"/>
    <w:rsid w:val="004A5661"/>
    <w:rsid w:val="004A6BA0"/>
    <w:rsid w:val="004A7BB5"/>
    <w:rsid w:val="004B0549"/>
    <w:rsid w:val="004B0CF3"/>
    <w:rsid w:val="004B1241"/>
    <w:rsid w:val="004B12D5"/>
    <w:rsid w:val="004B1CFC"/>
    <w:rsid w:val="004B217B"/>
    <w:rsid w:val="004B2E36"/>
    <w:rsid w:val="004B35AB"/>
    <w:rsid w:val="004B40CA"/>
    <w:rsid w:val="004B4889"/>
    <w:rsid w:val="004B5039"/>
    <w:rsid w:val="004B5C7C"/>
    <w:rsid w:val="004B67D3"/>
    <w:rsid w:val="004B7B6A"/>
    <w:rsid w:val="004C0265"/>
    <w:rsid w:val="004C0292"/>
    <w:rsid w:val="004C3056"/>
    <w:rsid w:val="004C4223"/>
    <w:rsid w:val="004C4535"/>
    <w:rsid w:val="004C4A52"/>
    <w:rsid w:val="004C52F8"/>
    <w:rsid w:val="004C6337"/>
    <w:rsid w:val="004C6B24"/>
    <w:rsid w:val="004C78D9"/>
    <w:rsid w:val="004C79E2"/>
    <w:rsid w:val="004D00AA"/>
    <w:rsid w:val="004D05C7"/>
    <w:rsid w:val="004D05FE"/>
    <w:rsid w:val="004D0A8F"/>
    <w:rsid w:val="004D1D0E"/>
    <w:rsid w:val="004D1D4A"/>
    <w:rsid w:val="004D21CF"/>
    <w:rsid w:val="004D2656"/>
    <w:rsid w:val="004D3034"/>
    <w:rsid w:val="004D350E"/>
    <w:rsid w:val="004D425E"/>
    <w:rsid w:val="004D44CC"/>
    <w:rsid w:val="004D476B"/>
    <w:rsid w:val="004D49FC"/>
    <w:rsid w:val="004D7205"/>
    <w:rsid w:val="004D72EF"/>
    <w:rsid w:val="004E0C16"/>
    <w:rsid w:val="004E13F8"/>
    <w:rsid w:val="004E24BF"/>
    <w:rsid w:val="004E2746"/>
    <w:rsid w:val="004E2A48"/>
    <w:rsid w:val="004E2EDE"/>
    <w:rsid w:val="004E4571"/>
    <w:rsid w:val="004E4CBF"/>
    <w:rsid w:val="004E50BF"/>
    <w:rsid w:val="004F1175"/>
    <w:rsid w:val="004F13EB"/>
    <w:rsid w:val="004F211A"/>
    <w:rsid w:val="004F35D0"/>
    <w:rsid w:val="004F3818"/>
    <w:rsid w:val="004F3AC1"/>
    <w:rsid w:val="004F4F7A"/>
    <w:rsid w:val="004F629B"/>
    <w:rsid w:val="004F6791"/>
    <w:rsid w:val="004F68D7"/>
    <w:rsid w:val="0050013A"/>
    <w:rsid w:val="005005B4"/>
    <w:rsid w:val="0050067C"/>
    <w:rsid w:val="00500E96"/>
    <w:rsid w:val="005014B4"/>
    <w:rsid w:val="00501A16"/>
    <w:rsid w:val="00502946"/>
    <w:rsid w:val="00502D6B"/>
    <w:rsid w:val="005045D4"/>
    <w:rsid w:val="005053A8"/>
    <w:rsid w:val="00505F1A"/>
    <w:rsid w:val="0050601E"/>
    <w:rsid w:val="00506C5D"/>
    <w:rsid w:val="005076D4"/>
    <w:rsid w:val="0051164B"/>
    <w:rsid w:val="005118D2"/>
    <w:rsid w:val="00512446"/>
    <w:rsid w:val="00513009"/>
    <w:rsid w:val="0051333E"/>
    <w:rsid w:val="005139C2"/>
    <w:rsid w:val="00513AB0"/>
    <w:rsid w:val="00514324"/>
    <w:rsid w:val="00514568"/>
    <w:rsid w:val="00514915"/>
    <w:rsid w:val="00514D39"/>
    <w:rsid w:val="005151AD"/>
    <w:rsid w:val="00515A4E"/>
    <w:rsid w:val="00520BCF"/>
    <w:rsid w:val="005210E1"/>
    <w:rsid w:val="00521506"/>
    <w:rsid w:val="00521A1F"/>
    <w:rsid w:val="00522ABA"/>
    <w:rsid w:val="00522BEE"/>
    <w:rsid w:val="00523C61"/>
    <w:rsid w:val="00523E57"/>
    <w:rsid w:val="0052400E"/>
    <w:rsid w:val="00524127"/>
    <w:rsid w:val="005252E5"/>
    <w:rsid w:val="00526421"/>
    <w:rsid w:val="00526FA9"/>
    <w:rsid w:val="00527665"/>
    <w:rsid w:val="00527A27"/>
    <w:rsid w:val="00530ADA"/>
    <w:rsid w:val="00531345"/>
    <w:rsid w:val="00531733"/>
    <w:rsid w:val="0053213C"/>
    <w:rsid w:val="0053242C"/>
    <w:rsid w:val="00532D69"/>
    <w:rsid w:val="0053499B"/>
    <w:rsid w:val="00534B6B"/>
    <w:rsid w:val="00534C0E"/>
    <w:rsid w:val="00534DDD"/>
    <w:rsid w:val="005368EF"/>
    <w:rsid w:val="00536E9E"/>
    <w:rsid w:val="005378E2"/>
    <w:rsid w:val="0054010C"/>
    <w:rsid w:val="005406B6"/>
    <w:rsid w:val="005407AB"/>
    <w:rsid w:val="00541D47"/>
    <w:rsid w:val="0054226C"/>
    <w:rsid w:val="00542734"/>
    <w:rsid w:val="00542FFA"/>
    <w:rsid w:val="005432A2"/>
    <w:rsid w:val="00543BA4"/>
    <w:rsid w:val="00545354"/>
    <w:rsid w:val="00547E46"/>
    <w:rsid w:val="00547E8E"/>
    <w:rsid w:val="00553838"/>
    <w:rsid w:val="00553C67"/>
    <w:rsid w:val="00553F08"/>
    <w:rsid w:val="00554C5A"/>
    <w:rsid w:val="00555160"/>
    <w:rsid w:val="0055583B"/>
    <w:rsid w:val="005566DC"/>
    <w:rsid w:val="005569A5"/>
    <w:rsid w:val="00556C09"/>
    <w:rsid w:val="00556FE8"/>
    <w:rsid w:val="0055784D"/>
    <w:rsid w:val="00557F7A"/>
    <w:rsid w:val="005603D7"/>
    <w:rsid w:val="0056088D"/>
    <w:rsid w:val="00560D7F"/>
    <w:rsid w:val="00560F18"/>
    <w:rsid w:val="0056112D"/>
    <w:rsid w:val="005617CF"/>
    <w:rsid w:val="00561CF2"/>
    <w:rsid w:val="00561E41"/>
    <w:rsid w:val="005628CE"/>
    <w:rsid w:val="0056290A"/>
    <w:rsid w:val="0056503E"/>
    <w:rsid w:val="00565414"/>
    <w:rsid w:val="005660BD"/>
    <w:rsid w:val="005712C6"/>
    <w:rsid w:val="00572F2C"/>
    <w:rsid w:val="005733B9"/>
    <w:rsid w:val="00573819"/>
    <w:rsid w:val="00573A1B"/>
    <w:rsid w:val="005747D4"/>
    <w:rsid w:val="00575D93"/>
    <w:rsid w:val="00576269"/>
    <w:rsid w:val="00577294"/>
    <w:rsid w:val="005809A2"/>
    <w:rsid w:val="00581E83"/>
    <w:rsid w:val="00581F60"/>
    <w:rsid w:val="005827B7"/>
    <w:rsid w:val="00583761"/>
    <w:rsid w:val="00583F77"/>
    <w:rsid w:val="0058416D"/>
    <w:rsid w:val="0058460C"/>
    <w:rsid w:val="0058504C"/>
    <w:rsid w:val="005858CE"/>
    <w:rsid w:val="0058645D"/>
    <w:rsid w:val="0058695C"/>
    <w:rsid w:val="00586F4D"/>
    <w:rsid w:val="00590479"/>
    <w:rsid w:val="005908B3"/>
    <w:rsid w:val="005910EB"/>
    <w:rsid w:val="00591989"/>
    <w:rsid w:val="00592C27"/>
    <w:rsid w:val="0059368A"/>
    <w:rsid w:val="005943D3"/>
    <w:rsid w:val="00595693"/>
    <w:rsid w:val="00595872"/>
    <w:rsid w:val="00595941"/>
    <w:rsid w:val="0059602B"/>
    <w:rsid w:val="005962F1"/>
    <w:rsid w:val="005A0100"/>
    <w:rsid w:val="005A055F"/>
    <w:rsid w:val="005A09C5"/>
    <w:rsid w:val="005A0D46"/>
    <w:rsid w:val="005A204C"/>
    <w:rsid w:val="005A222C"/>
    <w:rsid w:val="005A7290"/>
    <w:rsid w:val="005A7551"/>
    <w:rsid w:val="005B0E8A"/>
    <w:rsid w:val="005B1A2C"/>
    <w:rsid w:val="005B22F5"/>
    <w:rsid w:val="005B2E4E"/>
    <w:rsid w:val="005B3129"/>
    <w:rsid w:val="005B37F3"/>
    <w:rsid w:val="005B4DC5"/>
    <w:rsid w:val="005B72B1"/>
    <w:rsid w:val="005C0008"/>
    <w:rsid w:val="005C06EC"/>
    <w:rsid w:val="005C0D1F"/>
    <w:rsid w:val="005C2731"/>
    <w:rsid w:val="005C364B"/>
    <w:rsid w:val="005C4304"/>
    <w:rsid w:val="005C49AD"/>
    <w:rsid w:val="005C5C6B"/>
    <w:rsid w:val="005C62D1"/>
    <w:rsid w:val="005C6D40"/>
    <w:rsid w:val="005C7451"/>
    <w:rsid w:val="005D1236"/>
    <w:rsid w:val="005D15D2"/>
    <w:rsid w:val="005D1861"/>
    <w:rsid w:val="005D1906"/>
    <w:rsid w:val="005D2AD4"/>
    <w:rsid w:val="005D2D76"/>
    <w:rsid w:val="005D336B"/>
    <w:rsid w:val="005D37EB"/>
    <w:rsid w:val="005D3F05"/>
    <w:rsid w:val="005D616E"/>
    <w:rsid w:val="005D6F14"/>
    <w:rsid w:val="005D7FDD"/>
    <w:rsid w:val="005E0264"/>
    <w:rsid w:val="005E047C"/>
    <w:rsid w:val="005E1361"/>
    <w:rsid w:val="005E1DCB"/>
    <w:rsid w:val="005E1F14"/>
    <w:rsid w:val="005E2FD9"/>
    <w:rsid w:val="005E44FA"/>
    <w:rsid w:val="005E5539"/>
    <w:rsid w:val="005E63AA"/>
    <w:rsid w:val="005E77A2"/>
    <w:rsid w:val="005F03EC"/>
    <w:rsid w:val="005F047B"/>
    <w:rsid w:val="005F0D7C"/>
    <w:rsid w:val="005F151D"/>
    <w:rsid w:val="005F2153"/>
    <w:rsid w:val="005F3700"/>
    <w:rsid w:val="005F466D"/>
    <w:rsid w:val="005F4711"/>
    <w:rsid w:val="005F4955"/>
    <w:rsid w:val="005F5F8D"/>
    <w:rsid w:val="005F61A3"/>
    <w:rsid w:val="005F65B1"/>
    <w:rsid w:val="005F6741"/>
    <w:rsid w:val="005F6BCA"/>
    <w:rsid w:val="005F6BD5"/>
    <w:rsid w:val="005F6CA7"/>
    <w:rsid w:val="006006B3"/>
    <w:rsid w:val="00600880"/>
    <w:rsid w:val="00601976"/>
    <w:rsid w:val="00602A3D"/>
    <w:rsid w:val="00603017"/>
    <w:rsid w:val="00603343"/>
    <w:rsid w:val="006037AD"/>
    <w:rsid w:val="00604547"/>
    <w:rsid w:val="00604B39"/>
    <w:rsid w:val="00604C3F"/>
    <w:rsid w:val="00605821"/>
    <w:rsid w:val="0060640F"/>
    <w:rsid w:val="0061018E"/>
    <w:rsid w:val="006103CC"/>
    <w:rsid w:val="006108B7"/>
    <w:rsid w:val="006114C6"/>
    <w:rsid w:val="00611C9E"/>
    <w:rsid w:val="0061537E"/>
    <w:rsid w:val="0061584B"/>
    <w:rsid w:val="00615E75"/>
    <w:rsid w:val="00616034"/>
    <w:rsid w:val="00616427"/>
    <w:rsid w:val="006170C0"/>
    <w:rsid w:val="00617419"/>
    <w:rsid w:val="00617AB0"/>
    <w:rsid w:val="00617D2A"/>
    <w:rsid w:val="00617D2E"/>
    <w:rsid w:val="0062045C"/>
    <w:rsid w:val="00620A74"/>
    <w:rsid w:val="00620BFD"/>
    <w:rsid w:val="00620FD1"/>
    <w:rsid w:val="00621768"/>
    <w:rsid w:val="00621AE2"/>
    <w:rsid w:val="00621F3D"/>
    <w:rsid w:val="006220C3"/>
    <w:rsid w:val="0062219A"/>
    <w:rsid w:val="0062282D"/>
    <w:rsid w:val="00623284"/>
    <w:rsid w:val="006232D3"/>
    <w:rsid w:val="00623BAB"/>
    <w:rsid w:val="00624678"/>
    <w:rsid w:val="00624C8C"/>
    <w:rsid w:val="00624EA4"/>
    <w:rsid w:val="00625CFB"/>
    <w:rsid w:val="00625D4C"/>
    <w:rsid w:val="0062771E"/>
    <w:rsid w:val="00631F6A"/>
    <w:rsid w:val="006322E4"/>
    <w:rsid w:val="00632623"/>
    <w:rsid w:val="00632A89"/>
    <w:rsid w:val="00633A31"/>
    <w:rsid w:val="00634AD1"/>
    <w:rsid w:val="00635060"/>
    <w:rsid w:val="006351FD"/>
    <w:rsid w:val="006376ED"/>
    <w:rsid w:val="00641D0E"/>
    <w:rsid w:val="00641DCB"/>
    <w:rsid w:val="00643380"/>
    <w:rsid w:val="00644080"/>
    <w:rsid w:val="006462EC"/>
    <w:rsid w:val="00647623"/>
    <w:rsid w:val="00650645"/>
    <w:rsid w:val="0065282E"/>
    <w:rsid w:val="00652D6D"/>
    <w:rsid w:val="0065331B"/>
    <w:rsid w:val="0065393E"/>
    <w:rsid w:val="00654B24"/>
    <w:rsid w:val="00654E70"/>
    <w:rsid w:val="006563DF"/>
    <w:rsid w:val="0065673A"/>
    <w:rsid w:val="00656A6F"/>
    <w:rsid w:val="006570B5"/>
    <w:rsid w:val="0066140E"/>
    <w:rsid w:val="006618E6"/>
    <w:rsid w:val="00662514"/>
    <w:rsid w:val="0066273A"/>
    <w:rsid w:val="00662F04"/>
    <w:rsid w:val="006632ED"/>
    <w:rsid w:val="0066340F"/>
    <w:rsid w:val="00663E70"/>
    <w:rsid w:val="006647FF"/>
    <w:rsid w:val="00664965"/>
    <w:rsid w:val="00665277"/>
    <w:rsid w:val="006653F2"/>
    <w:rsid w:val="00665487"/>
    <w:rsid w:val="00666731"/>
    <w:rsid w:val="00666C13"/>
    <w:rsid w:val="006671D5"/>
    <w:rsid w:val="006672FE"/>
    <w:rsid w:val="006702B5"/>
    <w:rsid w:val="006704A9"/>
    <w:rsid w:val="00671019"/>
    <w:rsid w:val="006719CD"/>
    <w:rsid w:val="00672A6A"/>
    <w:rsid w:val="00672C7D"/>
    <w:rsid w:val="00672F12"/>
    <w:rsid w:val="0067317D"/>
    <w:rsid w:val="00673C0C"/>
    <w:rsid w:val="00674C55"/>
    <w:rsid w:val="00674FCB"/>
    <w:rsid w:val="006753A9"/>
    <w:rsid w:val="00675753"/>
    <w:rsid w:val="00676693"/>
    <w:rsid w:val="0067743B"/>
    <w:rsid w:val="00677552"/>
    <w:rsid w:val="006777FF"/>
    <w:rsid w:val="00677C21"/>
    <w:rsid w:val="00680198"/>
    <w:rsid w:val="00680D2A"/>
    <w:rsid w:val="006811E8"/>
    <w:rsid w:val="006813F7"/>
    <w:rsid w:val="006832F2"/>
    <w:rsid w:val="00683396"/>
    <w:rsid w:val="006834C1"/>
    <w:rsid w:val="00683788"/>
    <w:rsid w:val="00684954"/>
    <w:rsid w:val="00684A7B"/>
    <w:rsid w:val="00684BDD"/>
    <w:rsid w:val="00684E63"/>
    <w:rsid w:val="00685FD1"/>
    <w:rsid w:val="006868C9"/>
    <w:rsid w:val="00686C90"/>
    <w:rsid w:val="00686F77"/>
    <w:rsid w:val="006870F3"/>
    <w:rsid w:val="00687978"/>
    <w:rsid w:val="00691FAB"/>
    <w:rsid w:val="00692877"/>
    <w:rsid w:val="00694118"/>
    <w:rsid w:val="006941A6"/>
    <w:rsid w:val="006946E4"/>
    <w:rsid w:val="00696200"/>
    <w:rsid w:val="00696692"/>
    <w:rsid w:val="00697578"/>
    <w:rsid w:val="006A0034"/>
    <w:rsid w:val="006A005E"/>
    <w:rsid w:val="006A076D"/>
    <w:rsid w:val="006A1474"/>
    <w:rsid w:val="006A2144"/>
    <w:rsid w:val="006A2994"/>
    <w:rsid w:val="006A2C24"/>
    <w:rsid w:val="006A2D23"/>
    <w:rsid w:val="006A3277"/>
    <w:rsid w:val="006A34BF"/>
    <w:rsid w:val="006A3BB2"/>
    <w:rsid w:val="006A5D5F"/>
    <w:rsid w:val="006A6468"/>
    <w:rsid w:val="006A770A"/>
    <w:rsid w:val="006B0C09"/>
    <w:rsid w:val="006B116A"/>
    <w:rsid w:val="006B11FC"/>
    <w:rsid w:val="006B26B5"/>
    <w:rsid w:val="006B276C"/>
    <w:rsid w:val="006B2E46"/>
    <w:rsid w:val="006B2E75"/>
    <w:rsid w:val="006B47CD"/>
    <w:rsid w:val="006B4B55"/>
    <w:rsid w:val="006B5D02"/>
    <w:rsid w:val="006B6B7F"/>
    <w:rsid w:val="006B6FB2"/>
    <w:rsid w:val="006B7217"/>
    <w:rsid w:val="006B7BF8"/>
    <w:rsid w:val="006B7F83"/>
    <w:rsid w:val="006B7F97"/>
    <w:rsid w:val="006B7FEA"/>
    <w:rsid w:val="006C03F6"/>
    <w:rsid w:val="006C20D4"/>
    <w:rsid w:val="006C2746"/>
    <w:rsid w:val="006C28C4"/>
    <w:rsid w:val="006C5017"/>
    <w:rsid w:val="006C5D41"/>
    <w:rsid w:val="006C6426"/>
    <w:rsid w:val="006C6E4F"/>
    <w:rsid w:val="006C70B1"/>
    <w:rsid w:val="006C7448"/>
    <w:rsid w:val="006D0054"/>
    <w:rsid w:val="006D025D"/>
    <w:rsid w:val="006D1852"/>
    <w:rsid w:val="006D1862"/>
    <w:rsid w:val="006D1889"/>
    <w:rsid w:val="006D1F9F"/>
    <w:rsid w:val="006D3A58"/>
    <w:rsid w:val="006D3D14"/>
    <w:rsid w:val="006D46E2"/>
    <w:rsid w:val="006D475A"/>
    <w:rsid w:val="006D4780"/>
    <w:rsid w:val="006D4FE5"/>
    <w:rsid w:val="006D5B86"/>
    <w:rsid w:val="006D5DE9"/>
    <w:rsid w:val="006D6F60"/>
    <w:rsid w:val="006D712B"/>
    <w:rsid w:val="006D7379"/>
    <w:rsid w:val="006D7AD8"/>
    <w:rsid w:val="006E0DA7"/>
    <w:rsid w:val="006E26E4"/>
    <w:rsid w:val="006E40B7"/>
    <w:rsid w:val="006E47A2"/>
    <w:rsid w:val="006E4F16"/>
    <w:rsid w:val="006E5125"/>
    <w:rsid w:val="006E5301"/>
    <w:rsid w:val="006E5308"/>
    <w:rsid w:val="006E56B2"/>
    <w:rsid w:val="006E6163"/>
    <w:rsid w:val="006E6E43"/>
    <w:rsid w:val="006E71C0"/>
    <w:rsid w:val="006F03F7"/>
    <w:rsid w:val="006F0932"/>
    <w:rsid w:val="006F0B0A"/>
    <w:rsid w:val="006F1A7B"/>
    <w:rsid w:val="006F270C"/>
    <w:rsid w:val="006F2C13"/>
    <w:rsid w:val="006F3794"/>
    <w:rsid w:val="006F58A8"/>
    <w:rsid w:val="006F611A"/>
    <w:rsid w:val="006F62E6"/>
    <w:rsid w:val="006F6706"/>
    <w:rsid w:val="006F6B38"/>
    <w:rsid w:val="006F6B84"/>
    <w:rsid w:val="006F6E04"/>
    <w:rsid w:val="006F7014"/>
    <w:rsid w:val="00700449"/>
    <w:rsid w:val="00701B3E"/>
    <w:rsid w:val="007021AF"/>
    <w:rsid w:val="00703357"/>
    <w:rsid w:val="00703FE7"/>
    <w:rsid w:val="007044AF"/>
    <w:rsid w:val="007053FE"/>
    <w:rsid w:val="007077F9"/>
    <w:rsid w:val="00707BEE"/>
    <w:rsid w:val="00707C0F"/>
    <w:rsid w:val="007100E8"/>
    <w:rsid w:val="0071147B"/>
    <w:rsid w:val="00711755"/>
    <w:rsid w:val="00711F6C"/>
    <w:rsid w:val="007129E3"/>
    <w:rsid w:val="007130F0"/>
    <w:rsid w:val="00713121"/>
    <w:rsid w:val="00713A68"/>
    <w:rsid w:val="00714C96"/>
    <w:rsid w:val="00715228"/>
    <w:rsid w:val="00720DB5"/>
    <w:rsid w:val="00721070"/>
    <w:rsid w:val="0072180B"/>
    <w:rsid w:val="007235C8"/>
    <w:rsid w:val="00723D1F"/>
    <w:rsid w:val="0072426A"/>
    <w:rsid w:val="00724551"/>
    <w:rsid w:val="00724F13"/>
    <w:rsid w:val="00725171"/>
    <w:rsid w:val="0072529A"/>
    <w:rsid w:val="0072564A"/>
    <w:rsid w:val="0072738E"/>
    <w:rsid w:val="00730605"/>
    <w:rsid w:val="00730878"/>
    <w:rsid w:val="00730F0E"/>
    <w:rsid w:val="00732021"/>
    <w:rsid w:val="00732A0F"/>
    <w:rsid w:val="00733A4D"/>
    <w:rsid w:val="00734015"/>
    <w:rsid w:val="007343A1"/>
    <w:rsid w:val="00735B0B"/>
    <w:rsid w:val="00735CB0"/>
    <w:rsid w:val="0073729F"/>
    <w:rsid w:val="0073738D"/>
    <w:rsid w:val="007373C2"/>
    <w:rsid w:val="00737575"/>
    <w:rsid w:val="00737846"/>
    <w:rsid w:val="0074119B"/>
    <w:rsid w:val="00741E9F"/>
    <w:rsid w:val="00744742"/>
    <w:rsid w:val="00744F10"/>
    <w:rsid w:val="0074657D"/>
    <w:rsid w:val="00747402"/>
    <w:rsid w:val="00747F6B"/>
    <w:rsid w:val="0075027E"/>
    <w:rsid w:val="00750805"/>
    <w:rsid w:val="00751D73"/>
    <w:rsid w:val="00753A64"/>
    <w:rsid w:val="00754052"/>
    <w:rsid w:val="00754F5C"/>
    <w:rsid w:val="00755EFE"/>
    <w:rsid w:val="00756312"/>
    <w:rsid w:val="00756C89"/>
    <w:rsid w:val="00756CBF"/>
    <w:rsid w:val="00756F95"/>
    <w:rsid w:val="0075774E"/>
    <w:rsid w:val="00760302"/>
    <w:rsid w:val="00760CEA"/>
    <w:rsid w:val="00760E92"/>
    <w:rsid w:val="00760FB5"/>
    <w:rsid w:val="00761011"/>
    <w:rsid w:val="007616D5"/>
    <w:rsid w:val="00761D82"/>
    <w:rsid w:val="00762924"/>
    <w:rsid w:val="00762EC4"/>
    <w:rsid w:val="00763467"/>
    <w:rsid w:val="00763D35"/>
    <w:rsid w:val="00763D70"/>
    <w:rsid w:val="00764DCD"/>
    <w:rsid w:val="00766385"/>
    <w:rsid w:val="00767752"/>
    <w:rsid w:val="00767BDA"/>
    <w:rsid w:val="00767D24"/>
    <w:rsid w:val="007702FF"/>
    <w:rsid w:val="00770999"/>
    <w:rsid w:val="00771CE9"/>
    <w:rsid w:val="00772816"/>
    <w:rsid w:val="00772998"/>
    <w:rsid w:val="00773F44"/>
    <w:rsid w:val="00774CAB"/>
    <w:rsid w:val="007757ED"/>
    <w:rsid w:val="00775ABA"/>
    <w:rsid w:val="00776F4F"/>
    <w:rsid w:val="007809F3"/>
    <w:rsid w:val="007810CF"/>
    <w:rsid w:val="00781383"/>
    <w:rsid w:val="00781E3A"/>
    <w:rsid w:val="00782713"/>
    <w:rsid w:val="00782BD9"/>
    <w:rsid w:val="00782F51"/>
    <w:rsid w:val="007830F4"/>
    <w:rsid w:val="00783957"/>
    <w:rsid w:val="00784050"/>
    <w:rsid w:val="00784324"/>
    <w:rsid w:val="00784E84"/>
    <w:rsid w:val="007850F7"/>
    <w:rsid w:val="007851C9"/>
    <w:rsid w:val="007861B4"/>
    <w:rsid w:val="00786638"/>
    <w:rsid w:val="007904DA"/>
    <w:rsid w:val="00790F29"/>
    <w:rsid w:val="00791190"/>
    <w:rsid w:val="007922CD"/>
    <w:rsid w:val="007937A9"/>
    <w:rsid w:val="007937CD"/>
    <w:rsid w:val="00793BAA"/>
    <w:rsid w:val="00793C25"/>
    <w:rsid w:val="00793DDE"/>
    <w:rsid w:val="007940EF"/>
    <w:rsid w:val="00794948"/>
    <w:rsid w:val="0079547E"/>
    <w:rsid w:val="00795724"/>
    <w:rsid w:val="00797111"/>
    <w:rsid w:val="00797AEE"/>
    <w:rsid w:val="00797C94"/>
    <w:rsid w:val="007A072F"/>
    <w:rsid w:val="007A20E4"/>
    <w:rsid w:val="007A36FB"/>
    <w:rsid w:val="007A399C"/>
    <w:rsid w:val="007A410A"/>
    <w:rsid w:val="007A44CA"/>
    <w:rsid w:val="007A573A"/>
    <w:rsid w:val="007A70C9"/>
    <w:rsid w:val="007A7693"/>
    <w:rsid w:val="007B111C"/>
    <w:rsid w:val="007B451C"/>
    <w:rsid w:val="007B457E"/>
    <w:rsid w:val="007B5146"/>
    <w:rsid w:val="007B5761"/>
    <w:rsid w:val="007B5D3A"/>
    <w:rsid w:val="007B60E6"/>
    <w:rsid w:val="007B6866"/>
    <w:rsid w:val="007B7486"/>
    <w:rsid w:val="007B7658"/>
    <w:rsid w:val="007C0589"/>
    <w:rsid w:val="007C1A78"/>
    <w:rsid w:val="007C2D9F"/>
    <w:rsid w:val="007C3F37"/>
    <w:rsid w:val="007C5895"/>
    <w:rsid w:val="007C5D92"/>
    <w:rsid w:val="007C601C"/>
    <w:rsid w:val="007C790A"/>
    <w:rsid w:val="007D0F31"/>
    <w:rsid w:val="007D134B"/>
    <w:rsid w:val="007D1CDC"/>
    <w:rsid w:val="007D2137"/>
    <w:rsid w:val="007D2315"/>
    <w:rsid w:val="007D2A30"/>
    <w:rsid w:val="007D31EA"/>
    <w:rsid w:val="007D3BB9"/>
    <w:rsid w:val="007D524E"/>
    <w:rsid w:val="007D5318"/>
    <w:rsid w:val="007D5F4C"/>
    <w:rsid w:val="007D666E"/>
    <w:rsid w:val="007D7304"/>
    <w:rsid w:val="007E0235"/>
    <w:rsid w:val="007E0557"/>
    <w:rsid w:val="007E0DBC"/>
    <w:rsid w:val="007E13F3"/>
    <w:rsid w:val="007E197C"/>
    <w:rsid w:val="007E1C2F"/>
    <w:rsid w:val="007E1CB0"/>
    <w:rsid w:val="007E3CA1"/>
    <w:rsid w:val="007E3CFA"/>
    <w:rsid w:val="007E4313"/>
    <w:rsid w:val="007E5D73"/>
    <w:rsid w:val="007E5ED5"/>
    <w:rsid w:val="007E5F84"/>
    <w:rsid w:val="007E63C5"/>
    <w:rsid w:val="007F1760"/>
    <w:rsid w:val="007F1C4C"/>
    <w:rsid w:val="007F27CB"/>
    <w:rsid w:val="007F2F31"/>
    <w:rsid w:val="007F3429"/>
    <w:rsid w:val="007F44A4"/>
    <w:rsid w:val="007F4A29"/>
    <w:rsid w:val="007F608C"/>
    <w:rsid w:val="007F7192"/>
    <w:rsid w:val="007F7A10"/>
    <w:rsid w:val="0080035B"/>
    <w:rsid w:val="0080057A"/>
    <w:rsid w:val="00800C2E"/>
    <w:rsid w:val="00802C1B"/>
    <w:rsid w:val="00806030"/>
    <w:rsid w:val="008060B3"/>
    <w:rsid w:val="00806924"/>
    <w:rsid w:val="0080771D"/>
    <w:rsid w:val="00807B7D"/>
    <w:rsid w:val="008108C1"/>
    <w:rsid w:val="00810A4D"/>
    <w:rsid w:val="00810FE0"/>
    <w:rsid w:val="00811E9E"/>
    <w:rsid w:val="008134FB"/>
    <w:rsid w:val="00815B7F"/>
    <w:rsid w:val="0082000D"/>
    <w:rsid w:val="00820FBE"/>
    <w:rsid w:val="00821588"/>
    <w:rsid w:val="00821BED"/>
    <w:rsid w:val="008223D2"/>
    <w:rsid w:val="00822957"/>
    <w:rsid w:val="00822E80"/>
    <w:rsid w:val="00823C4B"/>
    <w:rsid w:val="00825403"/>
    <w:rsid w:val="008257E4"/>
    <w:rsid w:val="008257FE"/>
    <w:rsid w:val="00826776"/>
    <w:rsid w:val="008275E7"/>
    <w:rsid w:val="008279FC"/>
    <w:rsid w:val="00830193"/>
    <w:rsid w:val="0083125E"/>
    <w:rsid w:val="00831DA9"/>
    <w:rsid w:val="00832B44"/>
    <w:rsid w:val="0083324A"/>
    <w:rsid w:val="0083471C"/>
    <w:rsid w:val="00834A28"/>
    <w:rsid w:val="00835193"/>
    <w:rsid w:val="00835E23"/>
    <w:rsid w:val="008364BC"/>
    <w:rsid w:val="00837D12"/>
    <w:rsid w:val="00840132"/>
    <w:rsid w:val="00841353"/>
    <w:rsid w:val="00843767"/>
    <w:rsid w:val="00843C84"/>
    <w:rsid w:val="0084409F"/>
    <w:rsid w:val="0084674A"/>
    <w:rsid w:val="00846A05"/>
    <w:rsid w:val="00847B14"/>
    <w:rsid w:val="0085003B"/>
    <w:rsid w:val="00850458"/>
    <w:rsid w:val="008508B3"/>
    <w:rsid w:val="00850EB4"/>
    <w:rsid w:val="00851304"/>
    <w:rsid w:val="00851E07"/>
    <w:rsid w:val="00851FC0"/>
    <w:rsid w:val="00853C38"/>
    <w:rsid w:val="00854E95"/>
    <w:rsid w:val="00855618"/>
    <w:rsid w:val="00855732"/>
    <w:rsid w:val="00861A2D"/>
    <w:rsid w:val="00861C09"/>
    <w:rsid w:val="00862EE4"/>
    <w:rsid w:val="00862F51"/>
    <w:rsid w:val="0086392B"/>
    <w:rsid w:val="008640C2"/>
    <w:rsid w:val="0086546A"/>
    <w:rsid w:val="008670E9"/>
    <w:rsid w:val="0086771F"/>
    <w:rsid w:val="00870030"/>
    <w:rsid w:val="008702E8"/>
    <w:rsid w:val="008704CA"/>
    <w:rsid w:val="00870806"/>
    <w:rsid w:val="00870D16"/>
    <w:rsid w:val="00870E65"/>
    <w:rsid w:val="008711AA"/>
    <w:rsid w:val="008721B0"/>
    <w:rsid w:val="00872F69"/>
    <w:rsid w:val="00873324"/>
    <w:rsid w:val="00874970"/>
    <w:rsid w:val="008752F1"/>
    <w:rsid w:val="00876375"/>
    <w:rsid w:val="00877BFC"/>
    <w:rsid w:val="00880A87"/>
    <w:rsid w:val="0088151D"/>
    <w:rsid w:val="00882238"/>
    <w:rsid w:val="008830AD"/>
    <w:rsid w:val="008854FE"/>
    <w:rsid w:val="00885523"/>
    <w:rsid w:val="00885ADF"/>
    <w:rsid w:val="00885CAE"/>
    <w:rsid w:val="00886029"/>
    <w:rsid w:val="0088627E"/>
    <w:rsid w:val="0088650E"/>
    <w:rsid w:val="008904BC"/>
    <w:rsid w:val="008906DB"/>
    <w:rsid w:val="00890B3E"/>
    <w:rsid w:val="00892006"/>
    <w:rsid w:val="00892487"/>
    <w:rsid w:val="00893F7C"/>
    <w:rsid w:val="008949F9"/>
    <w:rsid w:val="0089581C"/>
    <w:rsid w:val="008960D6"/>
    <w:rsid w:val="00896255"/>
    <w:rsid w:val="0089632A"/>
    <w:rsid w:val="00896772"/>
    <w:rsid w:val="00896FAA"/>
    <w:rsid w:val="0089759D"/>
    <w:rsid w:val="00897D46"/>
    <w:rsid w:val="00897FB5"/>
    <w:rsid w:val="008A30B2"/>
    <w:rsid w:val="008A3A3F"/>
    <w:rsid w:val="008A4BE3"/>
    <w:rsid w:val="008A6CE1"/>
    <w:rsid w:val="008A74F4"/>
    <w:rsid w:val="008B07A6"/>
    <w:rsid w:val="008B2791"/>
    <w:rsid w:val="008B3110"/>
    <w:rsid w:val="008B3350"/>
    <w:rsid w:val="008B33C4"/>
    <w:rsid w:val="008B65DB"/>
    <w:rsid w:val="008B7589"/>
    <w:rsid w:val="008C046C"/>
    <w:rsid w:val="008C1E9E"/>
    <w:rsid w:val="008C27B9"/>
    <w:rsid w:val="008C2A20"/>
    <w:rsid w:val="008C2BB5"/>
    <w:rsid w:val="008C2DED"/>
    <w:rsid w:val="008C2E1B"/>
    <w:rsid w:val="008C2F60"/>
    <w:rsid w:val="008C3B69"/>
    <w:rsid w:val="008C3F05"/>
    <w:rsid w:val="008C4401"/>
    <w:rsid w:val="008C4403"/>
    <w:rsid w:val="008C5079"/>
    <w:rsid w:val="008C5A81"/>
    <w:rsid w:val="008C5E80"/>
    <w:rsid w:val="008C6723"/>
    <w:rsid w:val="008C6FA3"/>
    <w:rsid w:val="008C70E6"/>
    <w:rsid w:val="008C7CA8"/>
    <w:rsid w:val="008D0534"/>
    <w:rsid w:val="008D09C1"/>
    <w:rsid w:val="008D36D5"/>
    <w:rsid w:val="008D3845"/>
    <w:rsid w:val="008D401F"/>
    <w:rsid w:val="008D41B7"/>
    <w:rsid w:val="008D41F9"/>
    <w:rsid w:val="008D4F81"/>
    <w:rsid w:val="008D557A"/>
    <w:rsid w:val="008D613F"/>
    <w:rsid w:val="008D71D3"/>
    <w:rsid w:val="008E00E2"/>
    <w:rsid w:val="008E0C6F"/>
    <w:rsid w:val="008E0FAE"/>
    <w:rsid w:val="008E2732"/>
    <w:rsid w:val="008E2E13"/>
    <w:rsid w:val="008E346C"/>
    <w:rsid w:val="008E3EF2"/>
    <w:rsid w:val="008E3FA3"/>
    <w:rsid w:val="008E5139"/>
    <w:rsid w:val="008E53A9"/>
    <w:rsid w:val="008E5CBE"/>
    <w:rsid w:val="008E70BA"/>
    <w:rsid w:val="008F034C"/>
    <w:rsid w:val="008F0865"/>
    <w:rsid w:val="008F0BAA"/>
    <w:rsid w:val="008F134A"/>
    <w:rsid w:val="008F173F"/>
    <w:rsid w:val="008F2325"/>
    <w:rsid w:val="008F5F46"/>
    <w:rsid w:val="008F64F0"/>
    <w:rsid w:val="008F699F"/>
    <w:rsid w:val="00900493"/>
    <w:rsid w:val="009011F6"/>
    <w:rsid w:val="00902F06"/>
    <w:rsid w:val="00903716"/>
    <w:rsid w:val="00904A97"/>
    <w:rsid w:val="009053B4"/>
    <w:rsid w:val="009060BE"/>
    <w:rsid w:val="0090683C"/>
    <w:rsid w:val="00906BAD"/>
    <w:rsid w:val="0091031E"/>
    <w:rsid w:val="00910A8A"/>
    <w:rsid w:val="00911D29"/>
    <w:rsid w:val="00913927"/>
    <w:rsid w:val="0091487B"/>
    <w:rsid w:val="009148B5"/>
    <w:rsid w:val="00914A7E"/>
    <w:rsid w:val="00914E80"/>
    <w:rsid w:val="00916769"/>
    <w:rsid w:val="009168E8"/>
    <w:rsid w:val="00916BD6"/>
    <w:rsid w:val="00920A9C"/>
    <w:rsid w:val="009221F9"/>
    <w:rsid w:val="00923468"/>
    <w:rsid w:val="00923536"/>
    <w:rsid w:val="00924C5A"/>
    <w:rsid w:val="0092512E"/>
    <w:rsid w:val="009254AA"/>
    <w:rsid w:val="00925D0F"/>
    <w:rsid w:val="0092680A"/>
    <w:rsid w:val="0092733F"/>
    <w:rsid w:val="00927F1F"/>
    <w:rsid w:val="00930483"/>
    <w:rsid w:val="00931643"/>
    <w:rsid w:val="00931E5F"/>
    <w:rsid w:val="00932F80"/>
    <w:rsid w:val="00933B0E"/>
    <w:rsid w:val="009343E0"/>
    <w:rsid w:val="00934A49"/>
    <w:rsid w:val="00935B1F"/>
    <w:rsid w:val="00936D27"/>
    <w:rsid w:val="00937C4B"/>
    <w:rsid w:val="00937EC2"/>
    <w:rsid w:val="00937FD7"/>
    <w:rsid w:val="009412E4"/>
    <w:rsid w:val="009416F3"/>
    <w:rsid w:val="00941B7D"/>
    <w:rsid w:val="00942182"/>
    <w:rsid w:val="009429E5"/>
    <w:rsid w:val="00943336"/>
    <w:rsid w:val="00947FC5"/>
    <w:rsid w:val="00950CBA"/>
    <w:rsid w:val="00951716"/>
    <w:rsid w:val="00952A88"/>
    <w:rsid w:val="00953C04"/>
    <w:rsid w:val="00953F9D"/>
    <w:rsid w:val="00954504"/>
    <w:rsid w:val="00954618"/>
    <w:rsid w:val="009563B1"/>
    <w:rsid w:val="0095669A"/>
    <w:rsid w:val="00956CB8"/>
    <w:rsid w:val="00956F8F"/>
    <w:rsid w:val="0095744F"/>
    <w:rsid w:val="00957CC6"/>
    <w:rsid w:val="00957F94"/>
    <w:rsid w:val="009601D9"/>
    <w:rsid w:val="009601EF"/>
    <w:rsid w:val="009603BB"/>
    <w:rsid w:val="00962627"/>
    <w:rsid w:val="00962A0E"/>
    <w:rsid w:val="00962F47"/>
    <w:rsid w:val="00963602"/>
    <w:rsid w:val="00964086"/>
    <w:rsid w:val="00964484"/>
    <w:rsid w:val="00964CFB"/>
    <w:rsid w:val="00964ECE"/>
    <w:rsid w:val="009656E9"/>
    <w:rsid w:val="00965839"/>
    <w:rsid w:val="00966531"/>
    <w:rsid w:val="00966870"/>
    <w:rsid w:val="009668B7"/>
    <w:rsid w:val="00967691"/>
    <w:rsid w:val="00970494"/>
    <w:rsid w:val="00971307"/>
    <w:rsid w:val="00971765"/>
    <w:rsid w:val="00972B76"/>
    <w:rsid w:val="00973230"/>
    <w:rsid w:val="0097433C"/>
    <w:rsid w:val="009746E9"/>
    <w:rsid w:val="00975FBA"/>
    <w:rsid w:val="00976CB4"/>
    <w:rsid w:val="009805C9"/>
    <w:rsid w:val="00980689"/>
    <w:rsid w:val="0098126D"/>
    <w:rsid w:val="009815C6"/>
    <w:rsid w:val="00981ECB"/>
    <w:rsid w:val="0098324D"/>
    <w:rsid w:val="00983D60"/>
    <w:rsid w:val="00983F89"/>
    <w:rsid w:val="009848AE"/>
    <w:rsid w:val="00984DB0"/>
    <w:rsid w:val="00984FA3"/>
    <w:rsid w:val="009864CB"/>
    <w:rsid w:val="0098687B"/>
    <w:rsid w:val="00990A3E"/>
    <w:rsid w:val="0099300F"/>
    <w:rsid w:val="009934F4"/>
    <w:rsid w:val="00993C3B"/>
    <w:rsid w:val="00994C2F"/>
    <w:rsid w:val="00994C33"/>
    <w:rsid w:val="00994E8D"/>
    <w:rsid w:val="00995143"/>
    <w:rsid w:val="0099684A"/>
    <w:rsid w:val="00996859"/>
    <w:rsid w:val="009A0387"/>
    <w:rsid w:val="009A0FB5"/>
    <w:rsid w:val="009A1947"/>
    <w:rsid w:val="009A1C8C"/>
    <w:rsid w:val="009A1F63"/>
    <w:rsid w:val="009A32C0"/>
    <w:rsid w:val="009A3BEF"/>
    <w:rsid w:val="009A3E97"/>
    <w:rsid w:val="009A42AA"/>
    <w:rsid w:val="009A4704"/>
    <w:rsid w:val="009A5064"/>
    <w:rsid w:val="009A51A9"/>
    <w:rsid w:val="009A5617"/>
    <w:rsid w:val="009A5F27"/>
    <w:rsid w:val="009A5F9A"/>
    <w:rsid w:val="009B0601"/>
    <w:rsid w:val="009B105F"/>
    <w:rsid w:val="009B1D9C"/>
    <w:rsid w:val="009B22CF"/>
    <w:rsid w:val="009B25BA"/>
    <w:rsid w:val="009B2844"/>
    <w:rsid w:val="009B2E48"/>
    <w:rsid w:val="009B31B6"/>
    <w:rsid w:val="009B38AA"/>
    <w:rsid w:val="009B3CAE"/>
    <w:rsid w:val="009B4A13"/>
    <w:rsid w:val="009B4D29"/>
    <w:rsid w:val="009B54E1"/>
    <w:rsid w:val="009B6CE5"/>
    <w:rsid w:val="009B6F99"/>
    <w:rsid w:val="009B7A99"/>
    <w:rsid w:val="009B7F31"/>
    <w:rsid w:val="009C0CF5"/>
    <w:rsid w:val="009C0EC1"/>
    <w:rsid w:val="009C1054"/>
    <w:rsid w:val="009C1365"/>
    <w:rsid w:val="009C1CF8"/>
    <w:rsid w:val="009C20E6"/>
    <w:rsid w:val="009C2432"/>
    <w:rsid w:val="009C2A0A"/>
    <w:rsid w:val="009C3DBC"/>
    <w:rsid w:val="009C4FD9"/>
    <w:rsid w:val="009C6099"/>
    <w:rsid w:val="009C6797"/>
    <w:rsid w:val="009C6A07"/>
    <w:rsid w:val="009C74B1"/>
    <w:rsid w:val="009C7DFB"/>
    <w:rsid w:val="009D2634"/>
    <w:rsid w:val="009D27B5"/>
    <w:rsid w:val="009D2D21"/>
    <w:rsid w:val="009D3281"/>
    <w:rsid w:val="009D3BE7"/>
    <w:rsid w:val="009D44A6"/>
    <w:rsid w:val="009D4B01"/>
    <w:rsid w:val="009D6A44"/>
    <w:rsid w:val="009D7493"/>
    <w:rsid w:val="009D7ACF"/>
    <w:rsid w:val="009E00E1"/>
    <w:rsid w:val="009E01C0"/>
    <w:rsid w:val="009E0617"/>
    <w:rsid w:val="009E0877"/>
    <w:rsid w:val="009E1C12"/>
    <w:rsid w:val="009E1E6B"/>
    <w:rsid w:val="009E1F18"/>
    <w:rsid w:val="009E1F7B"/>
    <w:rsid w:val="009E1FFC"/>
    <w:rsid w:val="009E2B19"/>
    <w:rsid w:val="009E33BF"/>
    <w:rsid w:val="009E38C7"/>
    <w:rsid w:val="009E44A2"/>
    <w:rsid w:val="009E472E"/>
    <w:rsid w:val="009E581B"/>
    <w:rsid w:val="009E5D01"/>
    <w:rsid w:val="009E611F"/>
    <w:rsid w:val="009E6ACA"/>
    <w:rsid w:val="009E71AE"/>
    <w:rsid w:val="009F0491"/>
    <w:rsid w:val="009F09D0"/>
    <w:rsid w:val="009F0AEC"/>
    <w:rsid w:val="009F1715"/>
    <w:rsid w:val="009F1758"/>
    <w:rsid w:val="009F24D9"/>
    <w:rsid w:val="009F3B8F"/>
    <w:rsid w:val="009F3EAD"/>
    <w:rsid w:val="009F5ED2"/>
    <w:rsid w:val="009F65C2"/>
    <w:rsid w:val="009F68FE"/>
    <w:rsid w:val="009F7D79"/>
    <w:rsid w:val="00A01474"/>
    <w:rsid w:val="00A02065"/>
    <w:rsid w:val="00A02551"/>
    <w:rsid w:val="00A0469A"/>
    <w:rsid w:val="00A0520C"/>
    <w:rsid w:val="00A0541E"/>
    <w:rsid w:val="00A05E18"/>
    <w:rsid w:val="00A06A24"/>
    <w:rsid w:val="00A104ED"/>
    <w:rsid w:val="00A1068B"/>
    <w:rsid w:val="00A11EC5"/>
    <w:rsid w:val="00A12DD1"/>
    <w:rsid w:val="00A13B95"/>
    <w:rsid w:val="00A14A2F"/>
    <w:rsid w:val="00A14A8A"/>
    <w:rsid w:val="00A14C79"/>
    <w:rsid w:val="00A151EA"/>
    <w:rsid w:val="00A164A4"/>
    <w:rsid w:val="00A16E50"/>
    <w:rsid w:val="00A17160"/>
    <w:rsid w:val="00A17FD7"/>
    <w:rsid w:val="00A203D6"/>
    <w:rsid w:val="00A215D1"/>
    <w:rsid w:val="00A2163F"/>
    <w:rsid w:val="00A21D87"/>
    <w:rsid w:val="00A22486"/>
    <w:rsid w:val="00A234A4"/>
    <w:rsid w:val="00A2409C"/>
    <w:rsid w:val="00A248F9"/>
    <w:rsid w:val="00A26031"/>
    <w:rsid w:val="00A262C8"/>
    <w:rsid w:val="00A26353"/>
    <w:rsid w:val="00A27165"/>
    <w:rsid w:val="00A2721C"/>
    <w:rsid w:val="00A27C99"/>
    <w:rsid w:val="00A27EA2"/>
    <w:rsid w:val="00A31472"/>
    <w:rsid w:val="00A32429"/>
    <w:rsid w:val="00A32493"/>
    <w:rsid w:val="00A32EE7"/>
    <w:rsid w:val="00A32EED"/>
    <w:rsid w:val="00A330C6"/>
    <w:rsid w:val="00A3313E"/>
    <w:rsid w:val="00A33780"/>
    <w:rsid w:val="00A33CB4"/>
    <w:rsid w:val="00A34324"/>
    <w:rsid w:val="00A34AAC"/>
    <w:rsid w:val="00A354D6"/>
    <w:rsid w:val="00A356ED"/>
    <w:rsid w:val="00A35A10"/>
    <w:rsid w:val="00A37774"/>
    <w:rsid w:val="00A3786A"/>
    <w:rsid w:val="00A37BA5"/>
    <w:rsid w:val="00A4158A"/>
    <w:rsid w:val="00A41E42"/>
    <w:rsid w:val="00A41E93"/>
    <w:rsid w:val="00A424F7"/>
    <w:rsid w:val="00A42D02"/>
    <w:rsid w:val="00A4398C"/>
    <w:rsid w:val="00A43FD5"/>
    <w:rsid w:val="00A445C9"/>
    <w:rsid w:val="00A4488F"/>
    <w:rsid w:val="00A44FBA"/>
    <w:rsid w:val="00A45186"/>
    <w:rsid w:val="00A460B8"/>
    <w:rsid w:val="00A4723A"/>
    <w:rsid w:val="00A479D2"/>
    <w:rsid w:val="00A50AAC"/>
    <w:rsid w:val="00A5257A"/>
    <w:rsid w:val="00A52919"/>
    <w:rsid w:val="00A5344D"/>
    <w:rsid w:val="00A5369C"/>
    <w:rsid w:val="00A550A9"/>
    <w:rsid w:val="00A56722"/>
    <w:rsid w:val="00A57622"/>
    <w:rsid w:val="00A601CD"/>
    <w:rsid w:val="00A6071F"/>
    <w:rsid w:val="00A609FD"/>
    <w:rsid w:val="00A60D68"/>
    <w:rsid w:val="00A613C8"/>
    <w:rsid w:val="00A6299C"/>
    <w:rsid w:val="00A63BF2"/>
    <w:rsid w:val="00A63C38"/>
    <w:rsid w:val="00A64886"/>
    <w:rsid w:val="00A6531E"/>
    <w:rsid w:val="00A654EB"/>
    <w:rsid w:val="00A67225"/>
    <w:rsid w:val="00A707C2"/>
    <w:rsid w:val="00A71951"/>
    <w:rsid w:val="00A71F0A"/>
    <w:rsid w:val="00A722DE"/>
    <w:rsid w:val="00A755B1"/>
    <w:rsid w:val="00A764D6"/>
    <w:rsid w:val="00A80C10"/>
    <w:rsid w:val="00A80C51"/>
    <w:rsid w:val="00A80D14"/>
    <w:rsid w:val="00A820E6"/>
    <w:rsid w:val="00A82F49"/>
    <w:rsid w:val="00A836B6"/>
    <w:rsid w:val="00A839C4"/>
    <w:rsid w:val="00A84FEC"/>
    <w:rsid w:val="00A858DC"/>
    <w:rsid w:val="00A870E3"/>
    <w:rsid w:val="00A87C86"/>
    <w:rsid w:val="00A91360"/>
    <w:rsid w:val="00A91802"/>
    <w:rsid w:val="00A91DB6"/>
    <w:rsid w:val="00A92BBE"/>
    <w:rsid w:val="00A92CE0"/>
    <w:rsid w:val="00A92D21"/>
    <w:rsid w:val="00A93764"/>
    <w:rsid w:val="00A94D7B"/>
    <w:rsid w:val="00A950B0"/>
    <w:rsid w:val="00A95649"/>
    <w:rsid w:val="00A95BAD"/>
    <w:rsid w:val="00A966E5"/>
    <w:rsid w:val="00A967A7"/>
    <w:rsid w:val="00A96AA1"/>
    <w:rsid w:val="00A96CDC"/>
    <w:rsid w:val="00A97C83"/>
    <w:rsid w:val="00A97D4A"/>
    <w:rsid w:val="00AA000D"/>
    <w:rsid w:val="00AA0057"/>
    <w:rsid w:val="00AA02C4"/>
    <w:rsid w:val="00AA1835"/>
    <w:rsid w:val="00AA2277"/>
    <w:rsid w:val="00AA28D0"/>
    <w:rsid w:val="00AA341D"/>
    <w:rsid w:val="00AA3F92"/>
    <w:rsid w:val="00AA4624"/>
    <w:rsid w:val="00AA4E50"/>
    <w:rsid w:val="00AA51FA"/>
    <w:rsid w:val="00AA578B"/>
    <w:rsid w:val="00AA69A4"/>
    <w:rsid w:val="00AA7430"/>
    <w:rsid w:val="00AA79F2"/>
    <w:rsid w:val="00AB01A1"/>
    <w:rsid w:val="00AB1497"/>
    <w:rsid w:val="00AB2287"/>
    <w:rsid w:val="00AB2A7F"/>
    <w:rsid w:val="00AB2FD5"/>
    <w:rsid w:val="00AB3B59"/>
    <w:rsid w:val="00AB4D07"/>
    <w:rsid w:val="00AB4E5B"/>
    <w:rsid w:val="00AB57DA"/>
    <w:rsid w:val="00AB63EC"/>
    <w:rsid w:val="00AB66B7"/>
    <w:rsid w:val="00AB6C7F"/>
    <w:rsid w:val="00AB7C66"/>
    <w:rsid w:val="00AB7E26"/>
    <w:rsid w:val="00AC00BC"/>
    <w:rsid w:val="00AC043F"/>
    <w:rsid w:val="00AC07B3"/>
    <w:rsid w:val="00AC0861"/>
    <w:rsid w:val="00AC0CD7"/>
    <w:rsid w:val="00AC1B60"/>
    <w:rsid w:val="00AC2634"/>
    <w:rsid w:val="00AC28C6"/>
    <w:rsid w:val="00AC292F"/>
    <w:rsid w:val="00AC3A64"/>
    <w:rsid w:val="00AC3C18"/>
    <w:rsid w:val="00AC4961"/>
    <w:rsid w:val="00AC528B"/>
    <w:rsid w:val="00AC53EA"/>
    <w:rsid w:val="00AC631C"/>
    <w:rsid w:val="00AC73E6"/>
    <w:rsid w:val="00AC795F"/>
    <w:rsid w:val="00AC7F79"/>
    <w:rsid w:val="00AD0ACC"/>
    <w:rsid w:val="00AD0AEC"/>
    <w:rsid w:val="00AD0FB0"/>
    <w:rsid w:val="00AD1A7A"/>
    <w:rsid w:val="00AD1CAD"/>
    <w:rsid w:val="00AD27C0"/>
    <w:rsid w:val="00AD2CE6"/>
    <w:rsid w:val="00AD2F59"/>
    <w:rsid w:val="00AD5FF7"/>
    <w:rsid w:val="00AD6D67"/>
    <w:rsid w:val="00AD6E97"/>
    <w:rsid w:val="00AD7C18"/>
    <w:rsid w:val="00AD7FFD"/>
    <w:rsid w:val="00AE16ED"/>
    <w:rsid w:val="00AE21D1"/>
    <w:rsid w:val="00AE25CC"/>
    <w:rsid w:val="00AE4620"/>
    <w:rsid w:val="00AE49E6"/>
    <w:rsid w:val="00AE633B"/>
    <w:rsid w:val="00AE699C"/>
    <w:rsid w:val="00AE70F1"/>
    <w:rsid w:val="00AE756D"/>
    <w:rsid w:val="00AE7964"/>
    <w:rsid w:val="00AF0588"/>
    <w:rsid w:val="00AF2292"/>
    <w:rsid w:val="00AF2B7B"/>
    <w:rsid w:val="00AF2E9C"/>
    <w:rsid w:val="00AF3367"/>
    <w:rsid w:val="00AF34D9"/>
    <w:rsid w:val="00AF385A"/>
    <w:rsid w:val="00AF480F"/>
    <w:rsid w:val="00AF4F91"/>
    <w:rsid w:val="00AF5091"/>
    <w:rsid w:val="00AF5BAE"/>
    <w:rsid w:val="00AF6DA2"/>
    <w:rsid w:val="00AF6F51"/>
    <w:rsid w:val="00AF7193"/>
    <w:rsid w:val="00AF759B"/>
    <w:rsid w:val="00AF790A"/>
    <w:rsid w:val="00B00989"/>
    <w:rsid w:val="00B02817"/>
    <w:rsid w:val="00B03838"/>
    <w:rsid w:val="00B04011"/>
    <w:rsid w:val="00B0429B"/>
    <w:rsid w:val="00B066F8"/>
    <w:rsid w:val="00B07039"/>
    <w:rsid w:val="00B075B0"/>
    <w:rsid w:val="00B07D81"/>
    <w:rsid w:val="00B109FC"/>
    <w:rsid w:val="00B11542"/>
    <w:rsid w:val="00B11775"/>
    <w:rsid w:val="00B12538"/>
    <w:rsid w:val="00B13442"/>
    <w:rsid w:val="00B13674"/>
    <w:rsid w:val="00B142C5"/>
    <w:rsid w:val="00B1449F"/>
    <w:rsid w:val="00B1492E"/>
    <w:rsid w:val="00B14BF2"/>
    <w:rsid w:val="00B14C44"/>
    <w:rsid w:val="00B14E74"/>
    <w:rsid w:val="00B17BB4"/>
    <w:rsid w:val="00B20048"/>
    <w:rsid w:val="00B2085E"/>
    <w:rsid w:val="00B2099A"/>
    <w:rsid w:val="00B20C7F"/>
    <w:rsid w:val="00B22FA3"/>
    <w:rsid w:val="00B23FBF"/>
    <w:rsid w:val="00B243D6"/>
    <w:rsid w:val="00B251C9"/>
    <w:rsid w:val="00B25C55"/>
    <w:rsid w:val="00B262CF"/>
    <w:rsid w:val="00B27303"/>
    <w:rsid w:val="00B276AE"/>
    <w:rsid w:val="00B30570"/>
    <w:rsid w:val="00B30E91"/>
    <w:rsid w:val="00B30F9B"/>
    <w:rsid w:val="00B32B6E"/>
    <w:rsid w:val="00B33622"/>
    <w:rsid w:val="00B35068"/>
    <w:rsid w:val="00B35675"/>
    <w:rsid w:val="00B35A68"/>
    <w:rsid w:val="00B36433"/>
    <w:rsid w:val="00B36466"/>
    <w:rsid w:val="00B3663C"/>
    <w:rsid w:val="00B370A6"/>
    <w:rsid w:val="00B3728E"/>
    <w:rsid w:val="00B37C42"/>
    <w:rsid w:val="00B37CC5"/>
    <w:rsid w:val="00B402BB"/>
    <w:rsid w:val="00B40551"/>
    <w:rsid w:val="00B40991"/>
    <w:rsid w:val="00B40F57"/>
    <w:rsid w:val="00B4257D"/>
    <w:rsid w:val="00B42735"/>
    <w:rsid w:val="00B4289E"/>
    <w:rsid w:val="00B43196"/>
    <w:rsid w:val="00B43CC2"/>
    <w:rsid w:val="00B43DBA"/>
    <w:rsid w:val="00B43FAC"/>
    <w:rsid w:val="00B445A6"/>
    <w:rsid w:val="00B44CAB"/>
    <w:rsid w:val="00B464F7"/>
    <w:rsid w:val="00B51153"/>
    <w:rsid w:val="00B512DC"/>
    <w:rsid w:val="00B525BC"/>
    <w:rsid w:val="00B52B93"/>
    <w:rsid w:val="00B52E4E"/>
    <w:rsid w:val="00B52F0B"/>
    <w:rsid w:val="00B55EA8"/>
    <w:rsid w:val="00B5640A"/>
    <w:rsid w:val="00B56DCD"/>
    <w:rsid w:val="00B5721A"/>
    <w:rsid w:val="00B57747"/>
    <w:rsid w:val="00B57EDA"/>
    <w:rsid w:val="00B6310E"/>
    <w:rsid w:val="00B6383B"/>
    <w:rsid w:val="00B648CA"/>
    <w:rsid w:val="00B64D95"/>
    <w:rsid w:val="00B65183"/>
    <w:rsid w:val="00B65716"/>
    <w:rsid w:val="00B675D9"/>
    <w:rsid w:val="00B70129"/>
    <w:rsid w:val="00B70CB7"/>
    <w:rsid w:val="00B70FD8"/>
    <w:rsid w:val="00B71CDE"/>
    <w:rsid w:val="00B7202A"/>
    <w:rsid w:val="00B72908"/>
    <w:rsid w:val="00B72BE4"/>
    <w:rsid w:val="00B72F2E"/>
    <w:rsid w:val="00B73293"/>
    <w:rsid w:val="00B733CF"/>
    <w:rsid w:val="00B75FE2"/>
    <w:rsid w:val="00B8074B"/>
    <w:rsid w:val="00B818AD"/>
    <w:rsid w:val="00B81F74"/>
    <w:rsid w:val="00B82FB0"/>
    <w:rsid w:val="00B84F94"/>
    <w:rsid w:val="00B85259"/>
    <w:rsid w:val="00B902FD"/>
    <w:rsid w:val="00B90AD1"/>
    <w:rsid w:val="00B911AF"/>
    <w:rsid w:val="00B916EC"/>
    <w:rsid w:val="00B919F1"/>
    <w:rsid w:val="00B92B78"/>
    <w:rsid w:val="00B93030"/>
    <w:rsid w:val="00B93436"/>
    <w:rsid w:val="00B94176"/>
    <w:rsid w:val="00B94823"/>
    <w:rsid w:val="00B94B08"/>
    <w:rsid w:val="00B968A7"/>
    <w:rsid w:val="00B97AFA"/>
    <w:rsid w:val="00BA066E"/>
    <w:rsid w:val="00BA081A"/>
    <w:rsid w:val="00BA0BCB"/>
    <w:rsid w:val="00BA0F58"/>
    <w:rsid w:val="00BA100F"/>
    <w:rsid w:val="00BA139D"/>
    <w:rsid w:val="00BA2501"/>
    <w:rsid w:val="00BA2D14"/>
    <w:rsid w:val="00BA35F0"/>
    <w:rsid w:val="00BA4D09"/>
    <w:rsid w:val="00BA6BCF"/>
    <w:rsid w:val="00BA7ECA"/>
    <w:rsid w:val="00BB02CF"/>
    <w:rsid w:val="00BB0D62"/>
    <w:rsid w:val="00BB1159"/>
    <w:rsid w:val="00BB152D"/>
    <w:rsid w:val="00BB161C"/>
    <w:rsid w:val="00BB1B36"/>
    <w:rsid w:val="00BB20E1"/>
    <w:rsid w:val="00BB2DBE"/>
    <w:rsid w:val="00BB44CD"/>
    <w:rsid w:val="00BB4566"/>
    <w:rsid w:val="00BB46A4"/>
    <w:rsid w:val="00BB6286"/>
    <w:rsid w:val="00BB6CE6"/>
    <w:rsid w:val="00BB6D5D"/>
    <w:rsid w:val="00BC00DC"/>
    <w:rsid w:val="00BC086E"/>
    <w:rsid w:val="00BC09D2"/>
    <w:rsid w:val="00BC2A86"/>
    <w:rsid w:val="00BC37FA"/>
    <w:rsid w:val="00BC38C2"/>
    <w:rsid w:val="00BC401E"/>
    <w:rsid w:val="00BC4061"/>
    <w:rsid w:val="00BC7CAA"/>
    <w:rsid w:val="00BD016A"/>
    <w:rsid w:val="00BD0459"/>
    <w:rsid w:val="00BD0C18"/>
    <w:rsid w:val="00BD0D0D"/>
    <w:rsid w:val="00BD38C9"/>
    <w:rsid w:val="00BD39DF"/>
    <w:rsid w:val="00BD3C37"/>
    <w:rsid w:val="00BD41E5"/>
    <w:rsid w:val="00BD56C0"/>
    <w:rsid w:val="00BD5FC5"/>
    <w:rsid w:val="00BD66FE"/>
    <w:rsid w:val="00BD68E0"/>
    <w:rsid w:val="00BD6F67"/>
    <w:rsid w:val="00BD6F98"/>
    <w:rsid w:val="00BE05B6"/>
    <w:rsid w:val="00BE1305"/>
    <w:rsid w:val="00BE1DC7"/>
    <w:rsid w:val="00BE3827"/>
    <w:rsid w:val="00BE42FF"/>
    <w:rsid w:val="00BE502A"/>
    <w:rsid w:val="00BE51BF"/>
    <w:rsid w:val="00BE5AFF"/>
    <w:rsid w:val="00BE6BB5"/>
    <w:rsid w:val="00BE6C54"/>
    <w:rsid w:val="00BE6DBB"/>
    <w:rsid w:val="00BE7AE9"/>
    <w:rsid w:val="00BE7EDA"/>
    <w:rsid w:val="00BF0EEA"/>
    <w:rsid w:val="00BF0F0A"/>
    <w:rsid w:val="00BF15E5"/>
    <w:rsid w:val="00BF1BDD"/>
    <w:rsid w:val="00BF2C7F"/>
    <w:rsid w:val="00BF5851"/>
    <w:rsid w:val="00BF5E45"/>
    <w:rsid w:val="00BF72D5"/>
    <w:rsid w:val="00BF7B95"/>
    <w:rsid w:val="00C02637"/>
    <w:rsid w:val="00C0331E"/>
    <w:rsid w:val="00C03341"/>
    <w:rsid w:val="00C03A03"/>
    <w:rsid w:val="00C049DD"/>
    <w:rsid w:val="00C055EA"/>
    <w:rsid w:val="00C069B1"/>
    <w:rsid w:val="00C07995"/>
    <w:rsid w:val="00C10D77"/>
    <w:rsid w:val="00C11E73"/>
    <w:rsid w:val="00C12445"/>
    <w:rsid w:val="00C13370"/>
    <w:rsid w:val="00C14071"/>
    <w:rsid w:val="00C15349"/>
    <w:rsid w:val="00C1548E"/>
    <w:rsid w:val="00C15971"/>
    <w:rsid w:val="00C15FCF"/>
    <w:rsid w:val="00C1747D"/>
    <w:rsid w:val="00C175C9"/>
    <w:rsid w:val="00C21322"/>
    <w:rsid w:val="00C21738"/>
    <w:rsid w:val="00C218F8"/>
    <w:rsid w:val="00C224B3"/>
    <w:rsid w:val="00C25CCD"/>
    <w:rsid w:val="00C26B3E"/>
    <w:rsid w:val="00C27483"/>
    <w:rsid w:val="00C27E44"/>
    <w:rsid w:val="00C301FF"/>
    <w:rsid w:val="00C30C26"/>
    <w:rsid w:val="00C31330"/>
    <w:rsid w:val="00C321AD"/>
    <w:rsid w:val="00C32696"/>
    <w:rsid w:val="00C3307F"/>
    <w:rsid w:val="00C33823"/>
    <w:rsid w:val="00C33BB0"/>
    <w:rsid w:val="00C34173"/>
    <w:rsid w:val="00C342D9"/>
    <w:rsid w:val="00C34F55"/>
    <w:rsid w:val="00C35719"/>
    <w:rsid w:val="00C3591D"/>
    <w:rsid w:val="00C3665B"/>
    <w:rsid w:val="00C3752B"/>
    <w:rsid w:val="00C37B63"/>
    <w:rsid w:val="00C37C0A"/>
    <w:rsid w:val="00C37D6F"/>
    <w:rsid w:val="00C37E52"/>
    <w:rsid w:val="00C40692"/>
    <w:rsid w:val="00C40FE6"/>
    <w:rsid w:val="00C41429"/>
    <w:rsid w:val="00C4197C"/>
    <w:rsid w:val="00C42210"/>
    <w:rsid w:val="00C455B9"/>
    <w:rsid w:val="00C45AC5"/>
    <w:rsid w:val="00C47CC0"/>
    <w:rsid w:val="00C51283"/>
    <w:rsid w:val="00C5252D"/>
    <w:rsid w:val="00C5287E"/>
    <w:rsid w:val="00C531F2"/>
    <w:rsid w:val="00C535B4"/>
    <w:rsid w:val="00C53E96"/>
    <w:rsid w:val="00C5448E"/>
    <w:rsid w:val="00C54908"/>
    <w:rsid w:val="00C55042"/>
    <w:rsid w:val="00C564E8"/>
    <w:rsid w:val="00C5712F"/>
    <w:rsid w:val="00C573DE"/>
    <w:rsid w:val="00C57421"/>
    <w:rsid w:val="00C61BE7"/>
    <w:rsid w:val="00C62B8E"/>
    <w:rsid w:val="00C62CD6"/>
    <w:rsid w:val="00C6344C"/>
    <w:rsid w:val="00C645F5"/>
    <w:rsid w:val="00C65D96"/>
    <w:rsid w:val="00C660B2"/>
    <w:rsid w:val="00C66D78"/>
    <w:rsid w:val="00C673E0"/>
    <w:rsid w:val="00C704BD"/>
    <w:rsid w:val="00C729B1"/>
    <w:rsid w:val="00C72B0B"/>
    <w:rsid w:val="00C731B4"/>
    <w:rsid w:val="00C73843"/>
    <w:rsid w:val="00C746A7"/>
    <w:rsid w:val="00C75066"/>
    <w:rsid w:val="00C75224"/>
    <w:rsid w:val="00C765E1"/>
    <w:rsid w:val="00C77943"/>
    <w:rsid w:val="00C80E3C"/>
    <w:rsid w:val="00C81001"/>
    <w:rsid w:val="00C814A4"/>
    <w:rsid w:val="00C82407"/>
    <w:rsid w:val="00C82643"/>
    <w:rsid w:val="00C835F8"/>
    <w:rsid w:val="00C8454D"/>
    <w:rsid w:val="00C84A4C"/>
    <w:rsid w:val="00C85C5A"/>
    <w:rsid w:val="00C86351"/>
    <w:rsid w:val="00C86C5A"/>
    <w:rsid w:val="00C86D56"/>
    <w:rsid w:val="00C8736D"/>
    <w:rsid w:val="00C8738A"/>
    <w:rsid w:val="00C878BA"/>
    <w:rsid w:val="00C909EC"/>
    <w:rsid w:val="00C90CDD"/>
    <w:rsid w:val="00C91D6E"/>
    <w:rsid w:val="00C92323"/>
    <w:rsid w:val="00C92409"/>
    <w:rsid w:val="00C925EC"/>
    <w:rsid w:val="00C95747"/>
    <w:rsid w:val="00C959C9"/>
    <w:rsid w:val="00C961DA"/>
    <w:rsid w:val="00C96BC1"/>
    <w:rsid w:val="00C9711A"/>
    <w:rsid w:val="00C9728A"/>
    <w:rsid w:val="00C97A7A"/>
    <w:rsid w:val="00CA0942"/>
    <w:rsid w:val="00CA0D11"/>
    <w:rsid w:val="00CA1D2D"/>
    <w:rsid w:val="00CA26FD"/>
    <w:rsid w:val="00CA28C0"/>
    <w:rsid w:val="00CA4712"/>
    <w:rsid w:val="00CA49FD"/>
    <w:rsid w:val="00CA6499"/>
    <w:rsid w:val="00CA677A"/>
    <w:rsid w:val="00CA7CC7"/>
    <w:rsid w:val="00CB05B4"/>
    <w:rsid w:val="00CB0FDE"/>
    <w:rsid w:val="00CB218E"/>
    <w:rsid w:val="00CB2F18"/>
    <w:rsid w:val="00CB41D5"/>
    <w:rsid w:val="00CB5B11"/>
    <w:rsid w:val="00CC0006"/>
    <w:rsid w:val="00CC05C2"/>
    <w:rsid w:val="00CC0649"/>
    <w:rsid w:val="00CC0812"/>
    <w:rsid w:val="00CC1020"/>
    <w:rsid w:val="00CC1A84"/>
    <w:rsid w:val="00CC2796"/>
    <w:rsid w:val="00CC32D0"/>
    <w:rsid w:val="00CC3AED"/>
    <w:rsid w:val="00CC492E"/>
    <w:rsid w:val="00CC4C8D"/>
    <w:rsid w:val="00CC4D1F"/>
    <w:rsid w:val="00CC4DD6"/>
    <w:rsid w:val="00CC4F92"/>
    <w:rsid w:val="00CC54A9"/>
    <w:rsid w:val="00CC5A88"/>
    <w:rsid w:val="00CC5B93"/>
    <w:rsid w:val="00CC5C65"/>
    <w:rsid w:val="00CC6135"/>
    <w:rsid w:val="00CC6972"/>
    <w:rsid w:val="00CC784C"/>
    <w:rsid w:val="00CC7ABA"/>
    <w:rsid w:val="00CD017D"/>
    <w:rsid w:val="00CD1C26"/>
    <w:rsid w:val="00CD2905"/>
    <w:rsid w:val="00CD31D5"/>
    <w:rsid w:val="00CD3542"/>
    <w:rsid w:val="00CD48F1"/>
    <w:rsid w:val="00CD4E56"/>
    <w:rsid w:val="00CD53F8"/>
    <w:rsid w:val="00CD5FC1"/>
    <w:rsid w:val="00CD6ECA"/>
    <w:rsid w:val="00CD7A77"/>
    <w:rsid w:val="00CD7D3C"/>
    <w:rsid w:val="00CE16EC"/>
    <w:rsid w:val="00CE17AC"/>
    <w:rsid w:val="00CE1AC8"/>
    <w:rsid w:val="00CE1EEA"/>
    <w:rsid w:val="00CE202D"/>
    <w:rsid w:val="00CE24A8"/>
    <w:rsid w:val="00CE263D"/>
    <w:rsid w:val="00CE2ACF"/>
    <w:rsid w:val="00CE2CB9"/>
    <w:rsid w:val="00CE308D"/>
    <w:rsid w:val="00CE3541"/>
    <w:rsid w:val="00CE387D"/>
    <w:rsid w:val="00CE3A82"/>
    <w:rsid w:val="00CE4292"/>
    <w:rsid w:val="00CE4A19"/>
    <w:rsid w:val="00CE5A7D"/>
    <w:rsid w:val="00CE5AE3"/>
    <w:rsid w:val="00CE62D6"/>
    <w:rsid w:val="00CE6BEB"/>
    <w:rsid w:val="00CE7239"/>
    <w:rsid w:val="00CE724E"/>
    <w:rsid w:val="00CE77BC"/>
    <w:rsid w:val="00CE7A08"/>
    <w:rsid w:val="00CF004D"/>
    <w:rsid w:val="00CF020F"/>
    <w:rsid w:val="00CF0C10"/>
    <w:rsid w:val="00CF1630"/>
    <w:rsid w:val="00CF1B6E"/>
    <w:rsid w:val="00CF1BAE"/>
    <w:rsid w:val="00CF2D1D"/>
    <w:rsid w:val="00CF30DE"/>
    <w:rsid w:val="00CF3617"/>
    <w:rsid w:val="00CF3833"/>
    <w:rsid w:val="00CF42E3"/>
    <w:rsid w:val="00CF575F"/>
    <w:rsid w:val="00CF5A4A"/>
    <w:rsid w:val="00CF6A40"/>
    <w:rsid w:val="00CF6DF9"/>
    <w:rsid w:val="00CF71C8"/>
    <w:rsid w:val="00CF7708"/>
    <w:rsid w:val="00D0082C"/>
    <w:rsid w:val="00D02055"/>
    <w:rsid w:val="00D030DC"/>
    <w:rsid w:val="00D04B03"/>
    <w:rsid w:val="00D04B2F"/>
    <w:rsid w:val="00D061FF"/>
    <w:rsid w:val="00D06BD5"/>
    <w:rsid w:val="00D06BE5"/>
    <w:rsid w:val="00D07809"/>
    <w:rsid w:val="00D10E29"/>
    <w:rsid w:val="00D12215"/>
    <w:rsid w:val="00D127E2"/>
    <w:rsid w:val="00D13896"/>
    <w:rsid w:val="00D14CE8"/>
    <w:rsid w:val="00D15762"/>
    <w:rsid w:val="00D1703A"/>
    <w:rsid w:val="00D17FEB"/>
    <w:rsid w:val="00D21E43"/>
    <w:rsid w:val="00D21E46"/>
    <w:rsid w:val="00D225A5"/>
    <w:rsid w:val="00D2330B"/>
    <w:rsid w:val="00D23C9C"/>
    <w:rsid w:val="00D23D81"/>
    <w:rsid w:val="00D242A5"/>
    <w:rsid w:val="00D2442E"/>
    <w:rsid w:val="00D24466"/>
    <w:rsid w:val="00D25000"/>
    <w:rsid w:val="00D2540A"/>
    <w:rsid w:val="00D254FF"/>
    <w:rsid w:val="00D25995"/>
    <w:rsid w:val="00D25B81"/>
    <w:rsid w:val="00D26D02"/>
    <w:rsid w:val="00D279EB"/>
    <w:rsid w:val="00D27C7A"/>
    <w:rsid w:val="00D30BCE"/>
    <w:rsid w:val="00D30BFC"/>
    <w:rsid w:val="00D314F8"/>
    <w:rsid w:val="00D33055"/>
    <w:rsid w:val="00D33361"/>
    <w:rsid w:val="00D33CDB"/>
    <w:rsid w:val="00D33D01"/>
    <w:rsid w:val="00D33E15"/>
    <w:rsid w:val="00D34195"/>
    <w:rsid w:val="00D35479"/>
    <w:rsid w:val="00D3565C"/>
    <w:rsid w:val="00D35808"/>
    <w:rsid w:val="00D358BB"/>
    <w:rsid w:val="00D35A91"/>
    <w:rsid w:val="00D368D0"/>
    <w:rsid w:val="00D4051E"/>
    <w:rsid w:val="00D405DA"/>
    <w:rsid w:val="00D407C8"/>
    <w:rsid w:val="00D40CF6"/>
    <w:rsid w:val="00D41635"/>
    <w:rsid w:val="00D41E9B"/>
    <w:rsid w:val="00D42C04"/>
    <w:rsid w:val="00D50F12"/>
    <w:rsid w:val="00D52DF3"/>
    <w:rsid w:val="00D546C6"/>
    <w:rsid w:val="00D546CA"/>
    <w:rsid w:val="00D604D9"/>
    <w:rsid w:val="00D611ED"/>
    <w:rsid w:val="00D61519"/>
    <w:rsid w:val="00D62A51"/>
    <w:rsid w:val="00D62C85"/>
    <w:rsid w:val="00D63CBF"/>
    <w:rsid w:val="00D6480B"/>
    <w:rsid w:val="00D655F2"/>
    <w:rsid w:val="00D662A0"/>
    <w:rsid w:val="00D668C7"/>
    <w:rsid w:val="00D6718D"/>
    <w:rsid w:val="00D674E7"/>
    <w:rsid w:val="00D677B8"/>
    <w:rsid w:val="00D67879"/>
    <w:rsid w:val="00D706FC"/>
    <w:rsid w:val="00D70FA6"/>
    <w:rsid w:val="00D713DE"/>
    <w:rsid w:val="00D7277F"/>
    <w:rsid w:val="00D72864"/>
    <w:rsid w:val="00D7312A"/>
    <w:rsid w:val="00D76125"/>
    <w:rsid w:val="00D76365"/>
    <w:rsid w:val="00D806F6"/>
    <w:rsid w:val="00D80E66"/>
    <w:rsid w:val="00D811B5"/>
    <w:rsid w:val="00D825FC"/>
    <w:rsid w:val="00D82615"/>
    <w:rsid w:val="00D82E68"/>
    <w:rsid w:val="00D8442D"/>
    <w:rsid w:val="00D8458B"/>
    <w:rsid w:val="00D84FA4"/>
    <w:rsid w:val="00D856B9"/>
    <w:rsid w:val="00D8570E"/>
    <w:rsid w:val="00D85B35"/>
    <w:rsid w:val="00D86399"/>
    <w:rsid w:val="00D87852"/>
    <w:rsid w:val="00D911EE"/>
    <w:rsid w:val="00D9225A"/>
    <w:rsid w:val="00D9403F"/>
    <w:rsid w:val="00D94C0C"/>
    <w:rsid w:val="00D95537"/>
    <w:rsid w:val="00D95BF8"/>
    <w:rsid w:val="00D960E0"/>
    <w:rsid w:val="00D96A10"/>
    <w:rsid w:val="00DA0B00"/>
    <w:rsid w:val="00DA1BAF"/>
    <w:rsid w:val="00DA3474"/>
    <w:rsid w:val="00DA41C3"/>
    <w:rsid w:val="00DA41EC"/>
    <w:rsid w:val="00DA44A0"/>
    <w:rsid w:val="00DA45B4"/>
    <w:rsid w:val="00DA4853"/>
    <w:rsid w:val="00DA4B14"/>
    <w:rsid w:val="00DA4BAF"/>
    <w:rsid w:val="00DA4C4E"/>
    <w:rsid w:val="00DA4E1F"/>
    <w:rsid w:val="00DA5975"/>
    <w:rsid w:val="00DA649C"/>
    <w:rsid w:val="00DA693A"/>
    <w:rsid w:val="00DA6CDE"/>
    <w:rsid w:val="00DB03A4"/>
    <w:rsid w:val="00DB0865"/>
    <w:rsid w:val="00DB08E4"/>
    <w:rsid w:val="00DB0BB0"/>
    <w:rsid w:val="00DB0D0E"/>
    <w:rsid w:val="00DB1C10"/>
    <w:rsid w:val="00DB2443"/>
    <w:rsid w:val="00DB31E3"/>
    <w:rsid w:val="00DB3655"/>
    <w:rsid w:val="00DB424C"/>
    <w:rsid w:val="00DB5CEF"/>
    <w:rsid w:val="00DB6004"/>
    <w:rsid w:val="00DB7203"/>
    <w:rsid w:val="00DC05DF"/>
    <w:rsid w:val="00DC1010"/>
    <w:rsid w:val="00DC1699"/>
    <w:rsid w:val="00DC17DC"/>
    <w:rsid w:val="00DC17E7"/>
    <w:rsid w:val="00DC1A68"/>
    <w:rsid w:val="00DC245D"/>
    <w:rsid w:val="00DC2EB3"/>
    <w:rsid w:val="00DC4622"/>
    <w:rsid w:val="00DC4B90"/>
    <w:rsid w:val="00DC4DE8"/>
    <w:rsid w:val="00DC4E0C"/>
    <w:rsid w:val="00DC626C"/>
    <w:rsid w:val="00DC6AC5"/>
    <w:rsid w:val="00DD1F27"/>
    <w:rsid w:val="00DD1F62"/>
    <w:rsid w:val="00DD2282"/>
    <w:rsid w:val="00DD24B4"/>
    <w:rsid w:val="00DD28C0"/>
    <w:rsid w:val="00DD3E1D"/>
    <w:rsid w:val="00DD48CF"/>
    <w:rsid w:val="00DD59E4"/>
    <w:rsid w:val="00DD5F1F"/>
    <w:rsid w:val="00DD61FF"/>
    <w:rsid w:val="00DD69F6"/>
    <w:rsid w:val="00DD6AF9"/>
    <w:rsid w:val="00DE067C"/>
    <w:rsid w:val="00DE0706"/>
    <w:rsid w:val="00DE0770"/>
    <w:rsid w:val="00DE1A1B"/>
    <w:rsid w:val="00DE2338"/>
    <w:rsid w:val="00DE29A4"/>
    <w:rsid w:val="00DE5497"/>
    <w:rsid w:val="00DE6A14"/>
    <w:rsid w:val="00DE700B"/>
    <w:rsid w:val="00DE7295"/>
    <w:rsid w:val="00DE74D4"/>
    <w:rsid w:val="00DF000E"/>
    <w:rsid w:val="00DF048E"/>
    <w:rsid w:val="00DF0A63"/>
    <w:rsid w:val="00DF25BA"/>
    <w:rsid w:val="00DF4815"/>
    <w:rsid w:val="00E00351"/>
    <w:rsid w:val="00E015C0"/>
    <w:rsid w:val="00E01E13"/>
    <w:rsid w:val="00E02F50"/>
    <w:rsid w:val="00E03654"/>
    <w:rsid w:val="00E03B96"/>
    <w:rsid w:val="00E047F7"/>
    <w:rsid w:val="00E05567"/>
    <w:rsid w:val="00E0695D"/>
    <w:rsid w:val="00E073E5"/>
    <w:rsid w:val="00E108CC"/>
    <w:rsid w:val="00E10D70"/>
    <w:rsid w:val="00E10F3F"/>
    <w:rsid w:val="00E10F8B"/>
    <w:rsid w:val="00E113A3"/>
    <w:rsid w:val="00E13B3D"/>
    <w:rsid w:val="00E13F81"/>
    <w:rsid w:val="00E1523D"/>
    <w:rsid w:val="00E154F4"/>
    <w:rsid w:val="00E15A7E"/>
    <w:rsid w:val="00E1662F"/>
    <w:rsid w:val="00E16B65"/>
    <w:rsid w:val="00E17E16"/>
    <w:rsid w:val="00E21C94"/>
    <w:rsid w:val="00E224AC"/>
    <w:rsid w:val="00E22704"/>
    <w:rsid w:val="00E233AA"/>
    <w:rsid w:val="00E2386F"/>
    <w:rsid w:val="00E23E94"/>
    <w:rsid w:val="00E245F3"/>
    <w:rsid w:val="00E24AD2"/>
    <w:rsid w:val="00E26566"/>
    <w:rsid w:val="00E27488"/>
    <w:rsid w:val="00E27949"/>
    <w:rsid w:val="00E319F5"/>
    <w:rsid w:val="00E31E1F"/>
    <w:rsid w:val="00E331DF"/>
    <w:rsid w:val="00E335EB"/>
    <w:rsid w:val="00E33738"/>
    <w:rsid w:val="00E3446E"/>
    <w:rsid w:val="00E34A8E"/>
    <w:rsid w:val="00E35BA0"/>
    <w:rsid w:val="00E35BD0"/>
    <w:rsid w:val="00E365A7"/>
    <w:rsid w:val="00E40465"/>
    <w:rsid w:val="00E40FF0"/>
    <w:rsid w:val="00E4120D"/>
    <w:rsid w:val="00E41466"/>
    <w:rsid w:val="00E4300E"/>
    <w:rsid w:val="00E43301"/>
    <w:rsid w:val="00E43598"/>
    <w:rsid w:val="00E438AA"/>
    <w:rsid w:val="00E43993"/>
    <w:rsid w:val="00E44210"/>
    <w:rsid w:val="00E44A4C"/>
    <w:rsid w:val="00E45754"/>
    <w:rsid w:val="00E45E0D"/>
    <w:rsid w:val="00E45F77"/>
    <w:rsid w:val="00E463CB"/>
    <w:rsid w:val="00E47319"/>
    <w:rsid w:val="00E4747F"/>
    <w:rsid w:val="00E47FB1"/>
    <w:rsid w:val="00E5038C"/>
    <w:rsid w:val="00E505EF"/>
    <w:rsid w:val="00E508FF"/>
    <w:rsid w:val="00E51275"/>
    <w:rsid w:val="00E534EC"/>
    <w:rsid w:val="00E5378E"/>
    <w:rsid w:val="00E55AA8"/>
    <w:rsid w:val="00E55C9B"/>
    <w:rsid w:val="00E562FE"/>
    <w:rsid w:val="00E56428"/>
    <w:rsid w:val="00E5730E"/>
    <w:rsid w:val="00E57506"/>
    <w:rsid w:val="00E57BAD"/>
    <w:rsid w:val="00E57D9C"/>
    <w:rsid w:val="00E60747"/>
    <w:rsid w:val="00E60CDA"/>
    <w:rsid w:val="00E61285"/>
    <w:rsid w:val="00E62C5B"/>
    <w:rsid w:val="00E6316A"/>
    <w:rsid w:val="00E63308"/>
    <w:rsid w:val="00E63906"/>
    <w:rsid w:val="00E639E3"/>
    <w:rsid w:val="00E643AF"/>
    <w:rsid w:val="00E648CD"/>
    <w:rsid w:val="00E652A7"/>
    <w:rsid w:val="00E664E2"/>
    <w:rsid w:val="00E66692"/>
    <w:rsid w:val="00E66862"/>
    <w:rsid w:val="00E70075"/>
    <w:rsid w:val="00E7020F"/>
    <w:rsid w:val="00E706B6"/>
    <w:rsid w:val="00E70852"/>
    <w:rsid w:val="00E70D86"/>
    <w:rsid w:val="00E7167E"/>
    <w:rsid w:val="00E731B1"/>
    <w:rsid w:val="00E735F3"/>
    <w:rsid w:val="00E73D2D"/>
    <w:rsid w:val="00E753CA"/>
    <w:rsid w:val="00E8053E"/>
    <w:rsid w:val="00E80853"/>
    <w:rsid w:val="00E80ADF"/>
    <w:rsid w:val="00E80C11"/>
    <w:rsid w:val="00E813F2"/>
    <w:rsid w:val="00E81482"/>
    <w:rsid w:val="00E81BBF"/>
    <w:rsid w:val="00E81FF6"/>
    <w:rsid w:val="00E82B4F"/>
    <w:rsid w:val="00E82E17"/>
    <w:rsid w:val="00E8454A"/>
    <w:rsid w:val="00E845ED"/>
    <w:rsid w:val="00E85634"/>
    <w:rsid w:val="00E8601F"/>
    <w:rsid w:val="00E8666D"/>
    <w:rsid w:val="00E8795C"/>
    <w:rsid w:val="00E90962"/>
    <w:rsid w:val="00E90ADB"/>
    <w:rsid w:val="00E914FB"/>
    <w:rsid w:val="00E91F7B"/>
    <w:rsid w:val="00E94B7F"/>
    <w:rsid w:val="00E951D6"/>
    <w:rsid w:val="00E95653"/>
    <w:rsid w:val="00E95964"/>
    <w:rsid w:val="00E9632C"/>
    <w:rsid w:val="00E9744A"/>
    <w:rsid w:val="00EA0376"/>
    <w:rsid w:val="00EA08DF"/>
    <w:rsid w:val="00EA0BF3"/>
    <w:rsid w:val="00EA10F4"/>
    <w:rsid w:val="00EA29D7"/>
    <w:rsid w:val="00EA31CF"/>
    <w:rsid w:val="00EA391C"/>
    <w:rsid w:val="00EA3990"/>
    <w:rsid w:val="00EA3A6A"/>
    <w:rsid w:val="00EA558B"/>
    <w:rsid w:val="00EA6880"/>
    <w:rsid w:val="00EA6E54"/>
    <w:rsid w:val="00EA6E91"/>
    <w:rsid w:val="00EA726C"/>
    <w:rsid w:val="00EB0080"/>
    <w:rsid w:val="00EB1F06"/>
    <w:rsid w:val="00EB24DA"/>
    <w:rsid w:val="00EB3929"/>
    <w:rsid w:val="00EB42EC"/>
    <w:rsid w:val="00EB4EA7"/>
    <w:rsid w:val="00EB7264"/>
    <w:rsid w:val="00EB75DA"/>
    <w:rsid w:val="00EB784E"/>
    <w:rsid w:val="00EB7884"/>
    <w:rsid w:val="00EC006C"/>
    <w:rsid w:val="00EC0318"/>
    <w:rsid w:val="00EC03CF"/>
    <w:rsid w:val="00EC04B5"/>
    <w:rsid w:val="00EC0A31"/>
    <w:rsid w:val="00EC1099"/>
    <w:rsid w:val="00EC1374"/>
    <w:rsid w:val="00EC2852"/>
    <w:rsid w:val="00EC30C0"/>
    <w:rsid w:val="00EC43C8"/>
    <w:rsid w:val="00EC47ED"/>
    <w:rsid w:val="00EC507E"/>
    <w:rsid w:val="00EC60D7"/>
    <w:rsid w:val="00EC6DD9"/>
    <w:rsid w:val="00EC7C58"/>
    <w:rsid w:val="00ED024E"/>
    <w:rsid w:val="00ED0A7A"/>
    <w:rsid w:val="00ED17B1"/>
    <w:rsid w:val="00ED1EC6"/>
    <w:rsid w:val="00ED1F44"/>
    <w:rsid w:val="00ED2171"/>
    <w:rsid w:val="00ED2F5A"/>
    <w:rsid w:val="00ED35D5"/>
    <w:rsid w:val="00ED53F9"/>
    <w:rsid w:val="00ED6C22"/>
    <w:rsid w:val="00ED6D6A"/>
    <w:rsid w:val="00ED7934"/>
    <w:rsid w:val="00ED7946"/>
    <w:rsid w:val="00EE10D7"/>
    <w:rsid w:val="00EE1225"/>
    <w:rsid w:val="00EE1FA3"/>
    <w:rsid w:val="00EE279D"/>
    <w:rsid w:val="00EE4457"/>
    <w:rsid w:val="00EE5D13"/>
    <w:rsid w:val="00EE5F5A"/>
    <w:rsid w:val="00EE701B"/>
    <w:rsid w:val="00EE71E0"/>
    <w:rsid w:val="00EE74F1"/>
    <w:rsid w:val="00EE7CB2"/>
    <w:rsid w:val="00EF037D"/>
    <w:rsid w:val="00EF10AD"/>
    <w:rsid w:val="00EF2F90"/>
    <w:rsid w:val="00EF3B29"/>
    <w:rsid w:val="00EF3B60"/>
    <w:rsid w:val="00EF40AC"/>
    <w:rsid w:val="00EF45F3"/>
    <w:rsid w:val="00EF4F1E"/>
    <w:rsid w:val="00EF5197"/>
    <w:rsid w:val="00EF51B9"/>
    <w:rsid w:val="00EF72CB"/>
    <w:rsid w:val="00EF7406"/>
    <w:rsid w:val="00F00978"/>
    <w:rsid w:val="00F01227"/>
    <w:rsid w:val="00F01846"/>
    <w:rsid w:val="00F0205F"/>
    <w:rsid w:val="00F02AE1"/>
    <w:rsid w:val="00F03C13"/>
    <w:rsid w:val="00F03D81"/>
    <w:rsid w:val="00F03F67"/>
    <w:rsid w:val="00F04539"/>
    <w:rsid w:val="00F10050"/>
    <w:rsid w:val="00F10574"/>
    <w:rsid w:val="00F108BB"/>
    <w:rsid w:val="00F10CAD"/>
    <w:rsid w:val="00F117BD"/>
    <w:rsid w:val="00F118BD"/>
    <w:rsid w:val="00F11906"/>
    <w:rsid w:val="00F11E3D"/>
    <w:rsid w:val="00F13031"/>
    <w:rsid w:val="00F1317D"/>
    <w:rsid w:val="00F133CC"/>
    <w:rsid w:val="00F13689"/>
    <w:rsid w:val="00F14735"/>
    <w:rsid w:val="00F17BE8"/>
    <w:rsid w:val="00F20673"/>
    <w:rsid w:val="00F20828"/>
    <w:rsid w:val="00F214C1"/>
    <w:rsid w:val="00F21B8B"/>
    <w:rsid w:val="00F21F74"/>
    <w:rsid w:val="00F22859"/>
    <w:rsid w:val="00F237A2"/>
    <w:rsid w:val="00F24CA9"/>
    <w:rsid w:val="00F2535B"/>
    <w:rsid w:val="00F25FDB"/>
    <w:rsid w:val="00F31474"/>
    <w:rsid w:val="00F318FE"/>
    <w:rsid w:val="00F31B52"/>
    <w:rsid w:val="00F32A4E"/>
    <w:rsid w:val="00F32D8B"/>
    <w:rsid w:val="00F330BA"/>
    <w:rsid w:val="00F3460E"/>
    <w:rsid w:val="00F34802"/>
    <w:rsid w:val="00F350C3"/>
    <w:rsid w:val="00F35F36"/>
    <w:rsid w:val="00F36347"/>
    <w:rsid w:val="00F3792F"/>
    <w:rsid w:val="00F41D0E"/>
    <w:rsid w:val="00F443BD"/>
    <w:rsid w:val="00F47207"/>
    <w:rsid w:val="00F503F1"/>
    <w:rsid w:val="00F50C7E"/>
    <w:rsid w:val="00F50E6E"/>
    <w:rsid w:val="00F51407"/>
    <w:rsid w:val="00F51B08"/>
    <w:rsid w:val="00F51D70"/>
    <w:rsid w:val="00F521DD"/>
    <w:rsid w:val="00F52435"/>
    <w:rsid w:val="00F52B01"/>
    <w:rsid w:val="00F53F88"/>
    <w:rsid w:val="00F54750"/>
    <w:rsid w:val="00F55C2E"/>
    <w:rsid w:val="00F579F1"/>
    <w:rsid w:val="00F60295"/>
    <w:rsid w:val="00F60A13"/>
    <w:rsid w:val="00F60B1A"/>
    <w:rsid w:val="00F61EC9"/>
    <w:rsid w:val="00F62B40"/>
    <w:rsid w:val="00F65902"/>
    <w:rsid w:val="00F65CC0"/>
    <w:rsid w:val="00F660DD"/>
    <w:rsid w:val="00F665E5"/>
    <w:rsid w:val="00F67569"/>
    <w:rsid w:val="00F679F1"/>
    <w:rsid w:val="00F67C1A"/>
    <w:rsid w:val="00F67F26"/>
    <w:rsid w:val="00F70528"/>
    <w:rsid w:val="00F70640"/>
    <w:rsid w:val="00F70918"/>
    <w:rsid w:val="00F715E4"/>
    <w:rsid w:val="00F74788"/>
    <w:rsid w:val="00F74C89"/>
    <w:rsid w:val="00F7559B"/>
    <w:rsid w:val="00F755D6"/>
    <w:rsid w:val="00F7635E"/>
    <w:rsid w:val="00F7643D"/>
    <w:rsid w:val="00F77638"/>
    <w:rsid w:val="00F77D56"/>
    <w:rsid w:val="00F80CC2"/>
    <w:rsid w:val="00F80D6A"/>
    <w:rsid w:val="00F8198C"/>
    <w:rsid w:val="00F81F7B"/>
    <w:rsid w:val="00F81FCF"/>
    <w:rsid w:val="00F83A96"/>
    <w:rsid w:val="00F83D8E"/>
    <w:rsid w:val="00F8699A"/>
    <w:rsid w:val="00F86E0B"/>
    <w:rsid w:val="00F91FE8"/>
    <w:rsid w:val="00F92880"/>
    <w:rsid w:val="00F940DD"/>
    <w:rsid w:val="00F953C8"/>
    <w:rsid w:val="00F964DA"/>
    <w:rsid w:val="00F969B5"/>
    <w:rsid w:val="00FA03FC"/>
    <w:rsid w:val="00FA04A9"/>
    <w:rsid w:val="00FA1866"/>
    <w:rsid w:val="00FA1B63"/>
    <w:rsid w:val="00FA2FC6"/>
    <w:rsid w:val="00FA44C9"/>
    <w:rsid w:val="00FA5C3E"/>
    <w:rsid w:val="00FA65F8"/>
    <w:rsid w:val="00FA6822"/>
    <w:rsid w:val="00FA6CFC"/>
    <w:rsid w:val="00FA6D5B"/>
    <w:rsid w:val="00FA71DD"/>
    <w:rsid w:val="00FA7265"/>
    <w:rsid w:val="00FA7822"/>
    <w:rsid w:val="00FB139C"/>
    <w:rsid w:val="00FB163F"/>
    <w:rsid w:val="00FB184B"/>
    <w:rsid w:val="00FB1BD2"/>
    <w:rsid w:val="00FB2477"/>
    <w:rsid w:val="00FB317C"/>
    <w:rsid w:val="00FB355A"/>
    <w:rsid w:val="00FB3B61"/>
    <w:rsid w:val="00FB40D4"/>
    <w:rsid w:val="00FB5197"/>
    <w:rsid w:val="00FB6192"/>
    <w:rsid w:val="00FB72ED"/>
    <w:rsid w:val="00FC1555"/>
    <w:rsid w:val="00FC265C"/>
    <w:rsid w:val="00FC2EB8"/>
    <w:rsid w:val="00FC35A0"/>
    <w:rsid w:val="00FC363F"/>
    <w:rsid w:val="00FC3BF1"/>
    <w:rsid w:val="00FC460B"/>
    <w:rsid w:val="00FC5EAB"/>
    <w:rsid w:val="00FC638A"/>
    <w:rsid w:val="00FC6C11"/>
    <w:rsid w:val="00FC6FD9"/>
    <w:rsid w:val="00FC74FE"/>
    <w:rsid w:val="00FC7B15"/>
    <w:rsid w:val="00FD053F"/>
    <w:rsid w:val="00FD0DF1"/>
    <w:rsid w:val="00FD1436"/>
    <w:rsid w:val="00FD170F"/>
    <w:rsid w:val="00FD2936"/>
    <w:rsid w:val="00FD532A"/>
    <w:rsid w:val="00FD5779"/>
    <w:rsid w:val="00FD5CCE"/>
    <w:rsid w:val="00FD7809"/>
    <w:rsid w:val="00FE02D8"/>
    <w:rsid w:val="00FE0338"/>
    <w:rsid w:val="00FE0D8E"/>
    <w:rsid w:val="00FE162F"/>
    <w:rsid w:val="00FE2295"/>
    <w:rsid w:val="00FE355D"/>
    <w:rsid w:val="00FE4451"/>
    <w:rsid w:val="00FE6328"/>
    <w:rsid w:val="00FE768C"/>
    <w:rsid w:val="00FE7DCA"/>
    <w:rsid w:val="00FF0B71"/>
    <w:rsid w:val="00FF0C7C"/>
    <w:rsid w:val="00FF112B"/>
    <w:rsid w:val="00FF13FD"/>
    <w:rsid w:val="00FF140D"/>
    <w:rsid w:val="00FF1CBE"/>
    <w:rsid w:val="00FF4999"/>
    <w:rsid w:val="00FF4C1E"/>
    <w:rsid w:val="00FF4DEE"/>
    <w:rsid w:val="00FF4F5A"/>
    <w:rsid w:val="00FF622D"/>
    <w:rsid w:val="00FF6467"/>
    <w:rsid w:val="00FF66E5"/>
    <w:rsid w:val="00FF77AD"/>
    <w:rsid w:val="00FF796E"/>
    <w:rsid w:val="00FF7CE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BE0155"/>
  <w15:docId w15:val="{35626140-F51D-4B5C-A29B-7DAD7FBD39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4D0D"/>
    <w:pPr>
      <w:spacing w:after="0" w:line="240" w:lineRule="auto"/>
    </w:pPr>
    <w:rPr>
      <w:rFonts w:ascii="Times New Roman" w:eastAsia="Times New Roman" w:hAnsi="Times New Roman" w:cs="Times New Roman"/>
      <w:sz w:val="24"/>
      <w:szCs w:val="24"/>
      <w:lang w:eastAsia="tr-TR"/>
    </w:rPr>
  </w:style>
  <w:style w:type="paragraph" w:styleId="Balk1">
    <w:name w:val="heading 1"/>
    <w:basedOn w:val="Normal"/>
    <w:next w:val="Normal"/>
    <w:link w:val="Balk1Char"/>
    <w:uiPriority w:val="9"/>
    <w:qFormat/>
    <w:rsid w:val="00A95BAD"/>
    <w:pPr>
      <w:keepNext/>
      <w:keepLines/>
      <w:spacing w:before="240" w:after="240"/>
      <w:outlineLvl w:val="0"/>
    </w:pPr>
    <w:rPr>
      <w:rFonts w:asciiTheme="majorHAnsi" w:eastAsiaTheme="majorEastAsia" w:hAnsiTheme="majorHAnsi" w:cstheme="majorBidi"/>
      <w:b/>
      <w:bCs/>
      <w:caps/>
      <w:sz w:val="28"/>
      <w:szCs w:val="28"/>
    </w:rPr>
  </w:style>
  <w:style w:type="paragraph" w:styleId="Balk2">
    <w:name w:val="heading 2"/>
    <w:basedOn w:val="Normal"/>
    <w:next w:val="Normal"/>
    <w:link w:val="Balk2Char"/>
    <w:unhideWhenUsed/>
    <w:qFormat/>
    <w:rsid w:val="00A95BAD"/>
    <w:pPr>
      <w:keepNext/>
      <w:keepLines/>
      <w:spacing w:before="240"/>
      <w:outlineLvl w:val="1"/>
    </w:pPr>
    <w:rPr>
      <w:rFonts w:eastAsiaTheme="majorEastAsia" w:cstheme="majorBidi"/>
      <w:b/>
      <w:szCs w:val="26"/>
      <w:lang w:eastAsia="en-US"/>
    </w:rPr>
  </w:style>
  <w:style w:type="paragraph" w:styleId="Balk3">
    <w:name w:val="heading 3"/>
    <w:basedOn w:val="Normal"/>
    <w:next w:val="Normal"/>
    <w:link w:val="Balk3Char"/>
    <w:uiPriority w:val="9"/>
    <w:unhideWhenUsed/>
    <w:qFormat/>
    <w:rsid w:val="006C5017"/>
    <w:pPr>
      <w:keepNext/>
      <w:keepLines/>
      <w:spacing w:before="200"/>
      <w:outlineLvl w:val="2"/>
    </w:pPr>
    <w:rPr>
      <w:rFonts w:asciiTheme="majorHAnsi" w:eastAsiaTheme="majorEastAsia" w:hAnsiTheme="majorHAnsi" w:cstheme="majorBidi"/>
      <w:b/>
      <w:bCs/>
      <w:color w:val="5B9BD5" w:themeColor="accent1"/>
    </w:rPr>
  </w:style>
  <w:style w:type="paragraph" w:styleId="Balk4">
    <w:name w:val="heading 4"/>
    <w:basedOn w:val="Normal"/>
    <w:next w:val="Normal"/>
    <w:link w:val="Balk4Char"/>
    <w:qFormat/>
    <w:rsid w:val="009053B4"/>
    <w:pPr>
      <w:keepNext/>
      <w:pBdr>
        <w:top w:val="double" w:sz="4" w:space="1" w:color="auto"/>
        <w:left w:val="double" w:sz="4" w:space="4" w:color="auto"/>
        <w:bottom w:val="double" w:sz="4" w:space="1" w:color="auto"/>
        <w:right w:val="double" w:sz="4" w:space="4" w:color="auto"/>
      </w:pBdr>
      <w:jc w:val="center"/>
      <w:outlineLvl w:val="3"/>
    </w:pPr>
    <w:rPr>
      <w:rFonts w:ascii="Garamond" w:hAnsi="Garamond"/>
      <w:b/>
      <w:szCs w:val="20"/>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4Char">
    <w:name w:val="Başlık 4 Char"/>
    <w:basedOn w:val="VarsaylanParagrafYazTipi"/>
    <w:link w:val="Balk4"/>
    <w:rsid w:val="009053B4"/>
    <w:rPr>
      <w:rFonts w:ascii="Garamond" w:eastAsia="Times New Roman" w:hAnsi="Garamond" w:cs="Times New Roman"/>
      <w:b/>
      <w:sz w:val="24"/>
      <w:szCs w:val="20"/>
    </w:rPr>
  </w:style>
  <w:style w:type="paragraph" w:styleId="NormalWeb">
    <w:name w:val="Normal (Web)"/>
    <w:basedOn w:val="Normal"/>
    <w:uiPriority w:val="99"/>
    <w:rsid w:val="009053B4"/>
    <w:pPr>
      <w:spacing w:before="100" w:beforeAutospacing="1" w:after="100" w:afterAutospacing="1"/>
    </w:pPr>
    <w:rPr>
      <w:rFonts w:ascii="Arial Unicode MS" w:eastAsia="Arial Unicode MS" w:hAnsi="Arial Unicode MS" w:cs="Arial Unicode MS"/>
      <w:lang w:val="en-US" w:eastAsia="en-US"/>
    </w:rPr>
  </w:style>
  <w:style w:type="paragraph" w:styleId="GvdeMetniGirintisi">
    <w:name w:val="Body Text Indent"/>
    <w:basedOn w:val="Normal"/>
    <w:link w:val="GvdeMetniGirintisiChar"/>
    <w:rsid w:val="009053B4"/>
    <w:pPr>
      <w:ind w:left="1800" w:hanging="360"/>
    </w:pPr>
  </w:style>
  <w:style w:type="character" w:customStyle="1" w:styleId="GvdeMetniGirintisiChar">
    <w:name w:val="Gövde Metni Girintisi Char"/>
    <w:basedOn w:val="VarsaylanParagrafYazTipi"/>
    <w:link w:val="GvdeMetniGirintisi"/>
    <w:semiHidden/>
    <w:rsid w:val="009053B4"/>
    <w:rPr>
      <w:rFonts w:ascii="Times New Roman" w:eastAsia="Times New Roman" w:hAnsi="Times New Roman" w:cs="Times New Roman"/>
      <w:sz w:val="24"/>
      <w:szCs w:val="24"/>
    </w:rPr>
  </w:style>
  <w:style w:type="paragraph" w:styleId="GvdeMetniGirintisi2">
    <w:name w:val="Body Text Indent 2"/>
    <w:basedOn w:val="Normal"/>
    <w:link w:val="GvdeMetniGirintisi2Char"/>
    <w:rsid w:val="009053B4"/>
    <w:pPr>
      <w:ind w:left="360"/>
      <w:jc w:val="both"/>
    </w:pPr>
    <w:rPr>
      <w:lang w:eastAsia="en-US"/>
    </w:rPr>
  </w:style>
  <w:style w:type="character" w:customStyle="1" w:styleId="GvdeMetniGirintisi2Char">
    <w:name w:val="Gövde Metni Girintisi 2 Char"/>
    <w:basedOn w:val="VarsaylanParagrafYazTipi"/>
    <w:link w:val="GvdeMetniGirintisi2"/>
    <w:rsid w:val="009053B4"/>
    <w:rPr>
      <w:rFonts w:ascii="Times New Roman" w:eastAsia="Times New Roman" w:hAnsi="Times New Roman" w:cs="Times New Roman"/>
      <w:sz w:val="24"/>
      <w:szCs w:val="24"/>
    </w:rPr>
  </w:style>
  <w:style w:type="paragraph" w:styleId="GvdeMetniGirintisi3">
    <w:name w:val="Body Text Indent 3"/>
    <w:basedOn w:val="Normal"/>
    <w:link w:val="GvdeMetniGirintisi3Char"/>
    <w:semiHidden/>
    <w:rsid w:val="009053B4"/>
    <w:pPr>
      <w:ind w:left="360" w:firstLine="360"/>
      <w:jc w:val="both"/>
    </w:pPr>
    <w:rPr>
      <w:lang w:eastAsia="en-US"/>
    </w:rPr>
  </w:style>
  <w:style w:type="character" w:customStyle="1" w:styleId="GvdeMetniGirintisi3Char">
    <w:name w:val="Gövde Metni Girintisi 3 Char"/>
    <w:basedOn w:val="VarsaylanParagrafYazTipi"/>
    <w:link w:val="GvdeMetniGirintisi3"/>
    <w:semiHidden/>
    <w:rsid w:val="009053B4"/>
    <w:rPr>
      <w:rFonts w:ascii="Times New Roman" w:eastAsia="Times New Roman" w:hAnsi="Times New Roman" w:cs="Times New Roman"/>
      <w:sz w:val="24"/>
      <w:szCs w:val="24"/>
    </w:rPr>
  </w:style>
  <w:style w:type="paragraph" w:styleId="GvdeMetni">
    <w:name w:val="Body Text"/>
    <w:basedOn w:val="Normal"/>
    <w:link w:val="GvdeMetniChar"/>
    <w:rsid w:val="009053B4"/>
    <w:pPr>
      <w:shd w:val="clear" w:color="auto" w:fill="FFFFFF"/>
      <w:jc w:val="both"/>
    </w:pPr>
    <w:rPr>
      <w:color w:val="FF0000"/>
      <w:lang w:eastAsia="en-US"/>
    </w:rPr>
  </w:style>
  <w:style w:type="character" w:customStyle="1" w:styleId="GvdeMetniChar">
    <w:name w:val="Gövde Metni Char"/>
    <w:basedOn w:val="VarsaylanParagrafYazTipi"/>
    <w:link w:val="GvdeMetni"/>
    <w:semiHidden/>
    <w:rsid w:val="009053B4"/>
    <w:rPr>
      <w:rFonts w:ascii="Times New Roman" w:eastAsia="Times New Roman" w:hAnsi="Times New Roman" w:cs="Times New Roman"/>
      <w:color w:val="FF0000"/>
      <w:sz w:val="24"/>
      <w:szCs w:val="24"/>
      <w:shd w:val="clear" w:color="auto" w:fill="FFFFFF"/>
    </w:rPr>
  </w:style>
  <w:style w:type="paragraph" w:styleId="GvdeMetni2">
    <w:name w:val="Body Text 2"/>
    <w:basedOn w:val="Normal"/>
    <w:link w:val="GvdeMetni2Char"/>
    <w:rsid w:val="009053B4"/>
    <w:pPr>
      <w:spacing w:after="120" w:line="480" w:lineRule="auto"/>
    </w:pPr>
    <w:rPr>
      <w:lang w:val="x-none" w:eastAsia="en-US"/>
    </w:rPr>
  </w:style>
  <w:style w:type="character" w:customStyle="1" w:styleId="GvdeMetni2Char">
    <w:name w:val="Gövde Metni 2 Char"/>
    <w:basedOn w:val="VarsaylanParagrafYazTipi"/>
    <w:link w:val="GvdeMetni2"/>
    <w:rsid w:val="009053B4"/>
    <w:rPr>
      <w:rFonts w:ascii="Times New Roman" w:eastAsia="Times New Roman" w:hAnsi="Times New Roman" w:cs="Times New Roman"/>
      <w:sz w:val="24"/>
      <w:szCs w:val="24"/>
      <w:lang w:val="x-none"/>
    </w:rPr>
  </w:style>
  <w:style w:type="paragraph" w:customStyle="1" w:styleId="Default">
    <w:name w:val="Default"/>
    <w:rsid w:val="009053B4"/>
    <w:pPr>
      <w:autoSpaceDE w:val="0"/>
      <w:autoSpaceDN w:val="0"/>
      <w:adjustRightInd w:val="0"/>
      <w:spacing w:after="0" w:line="240" w:lineRule="auto"/>
    </w:pPr>
    <w:rPr>
      <w:rFonts w:ascii="Times New Roman" w:eastAsia="Times New Roman" w:hAnsi="Times New Roman" w:cs="Times New Roman"/>
      <w:color w:val="000000"/>
      <w:sz w:val="24"/>
      <w:szCs w:val="24"/>
      <w:lang w:eastAsia="tr-TR"/>
    </w:rPr>
  </w:style>
  <w:style w:type="paragraph" w:styleId="ListeParagraf">
    <w:name w:val="List Paragraph"/>
    <w:basedOn w:val="Normal"/>
    <w:uiPriority w:val="34"/>
    <w:qFormat/>
    <w:rsid w:val="009053B4"/>
    <w:pPr>
      <w:ind w:left="708"/>
    </w:pPr>
    <w:rPr>
      <w:lang w:eastAsia="en-US"/>
    </w:rPr>
  </w:style>
  <w:style w:type="paragraph" w:styleId="KonuBal">
    <w:name w:val="Title"/>
    <w:basedOn w:val="Normal"/>
    <w:link w:val="KonuBalChar"/>
    <w:qFormat/>
    <w:rsid w:val="009053B4"/>
    <w:pPr>
      <w:spacing w:line="240" w:lineRule="atLeast"/>
      <w:jc w:val="center"/>
    </w:pPr>
    <w:rPr>
      <w:b/>
      <w:sz w:val="32"/>
      <w:szCs w:val="20"/>
      <w:lang w:val="en-AU" w:eastAsia="x-none"/>
    </w:rPr>
  </w:style>
  <w:style w:type="character" w:customStyle="1" w:styleId="KonuBalChar">
    <w:name w:val="Konu Başlığı Char"/>
    <w:basedOn w:val="VarsaylanParagrafYazTipi"/>
    <w:link w:val="KonuBal"/>
    <w:rsid w:val="009053B4"/>
    <w:rPr>
      <w:rFonts w:ascii="Times New Roman" w:eastAsia="Times New Roman" w:hAnsi="Times New Roman" w:cs="Times New Roman"/>
      <w:b/>
      <w:sz w:val="32"/>
      <w:szCs w:val="20"/>
      <w:lang w:val="en-AU" w:eastAsia="x-none"/>
    </w:rPr>
  </w:style>
  <w:style w:type="character" w:customStyle="1" w:styleId="apple-converted-space">
    <w:name w:val="apple-converted-space"/>
    <w:rsid w:val="009053B4"/>
  </w:style>
  <w:style w:type="paragraph" w:styleId="BalonMetni">
    <w:name w:val="Balloon Text"/>
    <w:basedOn w:val="Normal"/>
    <w:link w:val="BalonMetniChar"/>
    <w:uiPriority w:val="99"/>
    <w:semiHidden/>
    <w:unhideWhenUsed/>
    <w:rsid w:val="009429E5"/>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9429E5"/>
    <w:rPr>
      <w:rFonts w:ascii="Segoe UI" w:eastAsia="Times New Roman" w:hAnsi="Segoe UI" w:cs="Segoe UI"/>
      <w:sz w:val="18"/>
      <w:szCs w:val="18"/>
    </w:rPr>
  </w:style>
  <w:style w:type="paragraph" w:styleId="DipnotMetni">
    <w:name w:val="footnote text"/>
    <w:basedOn w:val="Normal"/>
    <w:link w:val="DipnotMetniChar"/>
    <w:rsid w:val="00C37C0A"/>
    <w:rPr>
      <w:sz w:val="20"/>
      <w:szCs w:val="20"/>
    </w:rPr>
  </w:style>
  <w:style w:type="character" w:customStyle="1" w:styleId="DipnotMetniChar">
    <w:name w:val="Dipnot Metni Char"/>
    <w:basedOn w:val="VarsaylanParagrafYazTipi"/>
    <w:link w:val="DipnotMetni"/>
    <w:rsid w:val="00C37C0A"/>
    <w:rPr>
      <w:rFonts w:ascii="Times New Roman" w:eastAsia="Times New Roman" w:hAnsi="Times New Roman" w:cs="Times New Roman"/>
      <w:sz w:val="20"/>
      <w:szCs w:val="20"/>
      <w:lang w:eastAsia="tr-TR"/>
    </w:rPr>
  </w:style>
  <w:style w:type="character" w:styleId="DipnotBavurusu">
    <w:name w:val="footnote reference"/>
    <w:rsid w:val="00C37C0A"/>
    <w:rPr>
      <w:vertAlign w:val="superscript"/>
    </w:rPr>
  </w:style>
  <w:style w:type="character" w:styleId="AklamaBavurusu">
    <w:name w:val="annotation reference"/>
    <w:basedOn w:val="VarsaylanParagrafYazTipi"/>
    <w:uiPriority w:val="99"/>
    <w:semiHidden/>
    <w:unhideWhenUsed/>
    <w:rsid w:val="00E26566"/>
    <w:rPr>
      <w:sz w:val="16"/>
      <w:szCs w:val="16"/>
    </w:rPr>
  </w:style>
  <w:style w:type="paragraph" w:styleId="AklamaMetni">
    <w:name w:val="annotation text"/>
    <w:basedOn w:val="Normal"/>
    <w:link w:val="AklamaMetniChar"/>
    <w:uiPriority w:val="99"/>
    <w:semiHidden/>
    <w:unhideWhenUsed/>
    <w:rsid w:val="00E26566"/>
    <w:rPr>
      <w:sz w:val="20"/>
      <w:szCs w:val="20"/>
    </w:rPr>
  </w:style>
  <w:style w:type="character" w:customStyle="1" w:styleId="AklamaMetniChar">
    <w:name w:val="Açıklama Metni Char"/>
    <w:basedOn w:val="VarsaylanParagrafYazTipi"/>
    <w:link w:val="AklamaMetni"/>
    <w:uiPriority w:val="99"/>
    <w:semiHidden/>
    <w:rsid w:val="00E26566"/>
    <w:rPr>
      <w:rFonts w:ascii="Times New Roman" w:eastAsia="Times New Roman" w:hAnsi="Times New Roman" w:cs="Times New Roman"/>
      <w:sz w:val="20"/>
      <w:szCs w:val="20"/>
    </w:rPr>
  </w:style>
  <w:style w:type="paragraph" w:styleId="AklamaKonusu">
    <w:name w:val="annotation subject"/>
    <w:basedOn w:val="AklamaMetni"/>
    <w:next w:val="AklamaMetni"/>
    <w:link w:val="AklamaKonusuChar"/>
    <w:uiPriority w:val="99"/>
    <w:semiHidden/>
    <w:unhideWhenUsed/>
    <w:rsid w:val="00E26566"/>
    <w:rPr>
      <w:b/>
      <w:bCs/>
    </w:rPr>
  </w:style>
  <w:style w:type="character" w:customStyle="1" w:styleId="AklamaKonusuChar">
    <w:name w:val="Açıklama Konusu Char"/>
    <w:basedOn w:val="AklamaMetniChar"/>
    <w:link w:val="AklamaKonusu"/>
    <w:uiPriority w:val="99"/>
    <w:semiHidden/>
    <w:rsid w:val="00E26566"/>
    <w:rPr>
      <w:rFonts w:ascii="Times New Roman" w:eastAsia="Times New Roman" w:hAnsi="Times New Roman" w:cs="Times New Roman"/>
      <w:b/>
      <w:bCs/>
      <w:sz w:val="20"/>
      <w:szCs w:val="20"/>
    </w:rPr>
  </w:style>
  <w:style w:type="paragraph" w:styleId="stBilgi">
    <w:name w:val="header"/>
    <w:basedOn w:val="Normal"/>
    <w:link w:val="stBilgiChar"/>
    <w:uiPriority w:val="99"/>
    <w:unhideWhenUsed/>
    <w:rsid w:val="00E22704"/>
    <w:pPr>
      <w:tabs>
        <w:tab w:val="center" w:pos="4536"/>
        <w:tab w:val="right" w:pos="9072"/>
      </w:tabs>
    </w:pPr>
    <w:rPr>
      <w:lang w:eastAsia="en-US"/>
    </w:rPr>
  </w:style>
  <w:style w:type="character" w:customStyle="1" w:styleId="stBilgiChar">
    <w:name w:val="Üst Bilgi Char"/>
    <w:basedOn w:val="VarsaylanParagrafYazTipi"/>
    <w:link w:val="stBilgi"/>
    <w:uiPriority w:val="99"/>
    <w:rsid w:val="00E22704"/>
    <w:rPr>
      <w:rFonts w:ascii="Times New Roman" w:eastAsia="Times New Roman" w:hAnsi="Times New Roman" w:cs="Times New Roman"/>
      <w:sz w:val="24"/>
      <w:szCs w:val="24"/>
    </w:rPr>
  </w:style>
  <w:style w:type="paragraph" w:styleId="AltBilgi">
    <w:name w:val="footer"/>
    <w:basedOn w:val="Normal"/>
    <w:link w:val="AltBilgiChar"/>
    <w:uiPriority w:val="99"/>
    <w:unhideWhenUsed/>
    <w:rsid w:val="00E22704"/>
    <w:pPr>
      <w:tabs>
        <w:tab w:val="center" w:pos="4536"/>
        <w:tab w:val="right" w:pos="9072"/>
      </w:tabs>
    </w:pPr>
    <w:rPr>
      <w:lang w:eastAsia="en-US"/>
    </w:rPr>
  </w:style>
  <w:style w:type="character" w:customStyle="1" w:styleId="AltBilgiChar">
    <w:name w:val="Alt Bilgi Char"/>
    <w:basedOn w:val="VarsaylanParagrafYazTipi"/>
    <w:link w:val="AltBilgi"/>
    <w:uiPriority w:val="99"/>
    <w:rsid w:val="00E22704"/>
    <w:rPr>
      <w:rFonts w:ascii="Times New Roman" w:eastAsia="Times New Roman" w:hAnsi="Times New Roman" w:cs="Times New Roman"/>
      <w:sz w:val="24"/>
      <w:szCs w:val="24"/>
    </w:rPr>
  </w:style>
  <w:style w:type="character" w:customStyle="1" w:styleId="Balk2Char">
    <w:name w:val="Başlık 2 Char"/>
    <w:basedOn w:val="VarsaylanParagrafYazTipi"/>
    <w:link w:val="Balk2"/>
    <w:rsid w:val="00A95BAD"/>
    <w:rPr>
      <w:rFonts w:ascii="Times New Roman" w:eastAsiaTheme="majorEastAsia" w:hAnsi="Times New Roman" w:cstheme="majorBidi"/>
      <w:b/>
      <w:sz w:val="24"/>
      <w:szCs w:val="26"/>
    </w:rPr>
  </w:style>
  <w:style w:type="table" w:styleId="TabloKlavuzu">
    <w:name w:val="Table Grid"/>
    <w:basedOn w:val="NormalTablo"/>
    <w:uiPriority w:val="39"/>
    <w:rsid w:val="009412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1Char">
    <w:name w:val="Başlık 1 Char"/>
    <w:basedOn w:val="VarsaylanParagrafYazTipi"/>
    <w:link w:val="Balk1"/>
    <w:uiPriority w:val="9"/>
    <w:rsid w:val="00A95BAD"/>
    <w:rPr>
      <w:rFonts w:asciiTheme="majorHAnsi" w:eastAsiaTheme="majorEastAsia" w:hAnsiTheme="majorHAnsi" w:cstheme="majorBidi"/>
      <w:b/>
      <w:bCs/>
      <w:caps/>
      <w:sz w:val="28"/>
      <w:szCs w:val="28"/>
      <w:lang w:eastAsia="tr-TR"/>
    </w:rPr>
  </w:style>
  <w:style w:type="character" w:customStyle="1" w:styleId="Balk3Char">
    <w:name w:val="Başlık 3 Char"/>
    <w:basedOn w:val="VarsaylanParagrafYazTipi"/>
    <w:link w:val="Balk3"/>
    <w:uiPriority w:val="9"/>
    <w:rsid w:val="006C5017"/>
    <w:rPr>
      <w:rFonts w:asciiTheme="majorHAnsi" w:eastAsiaTheme="majorEastAsia" w:hAnsiTheme="majorHAnsi" w:cstheme="majorBidi"/>
      <w:b/>
      <w:bCs/>
      <w:color w:val="5B9BD5" w:themeColor="accent1"/>
      <w:sz w:val="24"/>
      <w:szCs w:val="24"/>
      <w:lang w:eastAsia="tr-TR"/>
    </w:rPr>
  </w:style>
  <w:style w:type="paragraph" w:styleId="TBal">
    <w:name w:val="TOC Heading"/>
    <w:basedOn w:val="Balk1"/>
    <w:next w:val="Normal"/>
    <w:uiPriority w:val="39"/>
    <w:unhideWhenUsed/>
    <w:qFormat/>
    <w:rsid w:val="00136E8B"/>
    <w:pPr>
      <w:spacing w:line="276" w:lineRule="auto"/>
      <w:outlineLvl w:val="9"/>
    </w:pPr>
  </w:style>
  <w:style w:type="paragraph" w:styleId="T1">
    <w:name w:val="toc 1"/>
    <w:basedOn w:val="Normal"/>
    <w:next w:val="Normal"/>
    <w:autoRedefine/>
    <w:uiPriority w:val="39"/>
    <w:unhideWhenUsed/>
    <w:rsid w:val="003D5FA7"/>
    <w:pPr>
      <w:spacing w:after="100"/>
    </w:pPr>
    <w:rPr>
      <w:b/>
    </w:rPr>
  </w:style>
  <w:style w:type="paragraph" w:styleId="T2">
    <w:name w:val="toc 2"/>
    <w:basedOn w:val="Normal"/>
    <w:next w:val="Normal"/>
    <w:autoRedefine/>
    <w:uiPriority w:val="39"/>
    <w:unhideWhenUsed/>
    <w:rsid w:val="00136E8B"/>
    <w:pPr>
      <w:spacing w:after="100"/>
      <w:ind w:left="240"/>
    </w:pPr>
  </w:style>
  <w:style w:type="paragraph" w:styleId="T3">
    <w:name w:val="toc 3"/>
    <w:basedOn w:val="Normal"/>
    <w:next w:val="Normal"/>
    <w:autoRedefine/>
    <w:uiPriority w:val="39"/>
    <w:unhideWhenUsed/>
    <w:rsid w:val="00536E9E"/>
    <w:pPr>
      <w:tabs>
        <w:tab w:val="right" w:leader="dot" w:pos="9062"/>
      </w:tabs>
      <w:spacing w:after="100"/>
      <w:ind w:left="480"/>
    </w:pPr>
    <w:rPr>
      <w:bCs/>
      <w:noProof/>
      <w:sz w:val="22"/>
      <w:szCs w:val="22"/>
    </w:rPr>
  </w:style>
  <w:style w:type="character" w:styleId="Kpr">
    <w:name w:val="Hyperlink"/>
    <w:basedOn w:val="VarsaylanParagrafYazTipi"/>
    <w:uiPriority w:val="99"/>
    <w:unhideWhenUsed/>
    <w:rsid w:val="00136E8B"/>
    <w:rPr>
      <w:color w:val="0563C1" w:themeColor="hyperlink"/>
      <w:u w:val="single"/>
    </w:rPr>
  </w:style>
  <w:style w:type="paragraph" w:customStyle="1" w:styleId="1">
    <w:name w:val="1"/>
    <w:basedOn w:val="Normal"/>
    <w:next w:val="AltBilgi"/>
    <w:link w:val="AltbilgiChar0"/>
    <w:uiPriority w:val="99"/>
    <w:rsid w:val="00242786"/>
    <w:pPr>
      <w:tabs>
        <w:tab w:val="center" w:pos="4536"/>
        <w:tab w:val="right" w:pos="9072"/>
      </w:tabs>
    </w:pPr>
    <w:rPr>
      <w:rFonts w:asciiTheme="minorHAnsi" w:eastAsiaTheme="minorHAnsi" w:hAnsiTheme="minorHAnsi" w:cstheme="minorBidi"/>
      <w:sz w:val="22"/>
      <w:szCs w:val="22"/>
      <w:lang w:eastAsia="en-US"/>
    </w:rPr>
  </w:style>
  <w:style w:type="character" w:customStyle="1" w:styleId="AltbilgiChar0">
    <w:name w:val="Altbilgi Char"/>
    <w:link w:val="1"/>
    <w:uiPriority w:val="99"/>
    <w:rsid w:val="00242786"/>
    <w:rPr>
      <w:lang w:eastAsia="en-US"/>
    </w:rPr>
  </w:style>
  <w:style w:type="paragraph" w:styleId="ResimYazs">
    <w:name w:val="caption"/>
    <w:basedOn w:val="Normal"/>
    <w:next w:val="Normal"/>
    <w:uiPriority w:val="35"/>
    <w:unhideWhenUsed/>
    <w:qFormat/>
    <w:rsid w:val="00B52B93"/>
    <w:rPr>
      <w:b/>
      <w:bCs/>
      <w:sz w:val="20"/>
      <w:szCs w:val="20"/>
    </w:rPr>
  </w:style>
  <w:style w:type="paragraph" w:styleId="ekillerTablosu">
    <w:name w:val="table of figures"/>
    <w:basedOn w:val="Normal"/>
    <w:next w:val="Normal"/>
    <w:uiPriority w:val="99"/>
    <w:unhideWhenUsed/>
    <w:rsid w:val="00C564E8"/>
  </w:style>
  <w:style w:type="character" w:customStyle="1" w:styleId="spelle">
    <w:name w:val="spelle"/>
    <w:rsid w:val="00665487"/>
  </w:style>
  <w:style w:type="character" w:customStyle="1" w:styleId="spangtip">
    <w:name w:val="spangtip"/>
    <w:rsid w:val="00581F60"/>
  </w:style>
  <w:style w:type="character" w:styleId="zlenenKpr">
    <w:name w:val="FollowedHyperlink"/>
    <w:basedOn w:val="VarsaylanParagrafYazTipi"/>
    <w:uiPriority w:val="99"/>
    <w:semiHidden/>
    <w:unhideWhenUsed/>
    <w:rsid w:val="00885ADF"/>
    <w:rPr>
      <w:color w:val="954F72" w:themeColor="followedHyperlink"/>
      <w:u w:val="single"/>
    </w:rPr>
  </w:style>
  <w:style w:type="paragraph" w:customStyle="1" w:styleId="metin">
    <w:name w:val="metin"/>
    <w:basedOn w:val="Normal"/>
    <w:rsid w:val="00536E9E"/>
    <w:pPr>
      <w:spacing w:before="100" w:beforeAutospacing="1" w:after="100" w:afterAutospacing="1"/>
    </w:pPr>
  </w:style>
  <w:style w:type="paragraph" w:styleId="Altyaz">
    <w:name w:val="Subtitle"/>
    <w:basedOn w:val="Normal"/>
    <w:next w:val="Normal"/>
    <w:link w:val="AltyazChar"/>
    <w:qFormat/>
    <w:rsid w:val="00B65716"/>
    <w:pPr>
      <w:spacing w:after="60"/>
      <w:jc w:val="center"/>
      <w:outlineLvl w:val="1"/>
    </w:pPr>
    <w:rPr>
      <w:rFonts w:ascii="Calibri Light" w:hAnsi="Calibri Light"/>
      <w:sz w:val="20"/>
      <w:szCs w:val="20"/>
    </w:rPr>
  </w:style>
  <w:style w:type="character" w:customStyle="1" w:styleId="AltyazChar">
    <w:name w:val="Altyazı Char"/>
    <w:basedOn w:val="VarsaylanParagrafYazTipi"/>
    <w:link w:val="Altyaz"/>
    <w:rsid w:val="00B65716"/>
    <w:rPr>
      <w:rFonts w:ascii="Calibri Light" w:eastAsia="Times New Roman" w:hAnsi="Calibri Light" w:cs="Times New Roman"/>
      <w:sz w:val="20"/>
      <w:szCs w:val="20"/>
      <w:lang w:eastAsia="tr-TR"/>
    </w:rPr>
  </w:style>
  <w:style w:type="character" w:styleId="KitapBal">
    <w:name w:val="Book Title"/>
    <w:basedOn w:val="VarsaylanParagrafYazTipi"/>
    <w:uiPriority w:val="33"/>
    <w:qFormat/>
    <w:rsid w:val="00B65716"/>
    <w:rPr>
      <w:rFonts w:ascii="Times New Roman" w:hAnsi="Times New Roman"/>
      <w:b/>
      <w:bCs/>
      <w:iCs/>
      <w:spacing w:val="0"/>
      <w:sz w:val="24"/>
    </w:rPr>
  </w:style>
  <w:style w:type="numbering" w:customStyle="1" w:styleId="Stil1">
    <w:name w:val="Stil1"/>
    <w:uiPriority w:val="99"/>
    <w:rsid w:val="00AD7C18"/>
    <w:pPr>
      <w:numPr>
        <w:numId w:val="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981133">
      <w:bodyDiv w:val="1"/>
      <w:marLeft w:val="0"/>
      <w:marRight w:val="0"/>
      <w:marTop w:val="0"/>
      <w:marBottom w:val="0"/>
      <w:divBdr>
        <w:top w:val="none" w:sz="0" w:space="0" w:color="auto"/>
        <w:left w:val="none" w:sz="0" w:space="0" w:color="auto"/>
        <w:bottom w:val="none" w:sz="0" w:space="0" w:color="auto"/>
        <w:right w:val="none" w:sz="0" w:space="0" w:color="auto"/>
      </w:divBdr>
    </w:div>
    <w:div w:id="131556787">
      <w:bodyDiv w:val="1"/>
      <w:marLeft w:val="0"/>
      <w:marRight w:val="0"/>
      <w:marTop w:val="0"/>
      <w:marBottom w:val="0"/>
      <w:divBdr>
        <w:top w:val="none" w:sz="0" w:space="0" w:color="auto"/>
        <w:left w:val="none" w:sz="0" w:space="0" w:color="auto"/>
        <w:bottom w:val="none" w:sz="0" w:space="0" w:color="auto"/>
        <w:right w:val="none" w:sz="0" w:space="0" w:color="auto"/>
      </w:divBdr>
    </w:div>
    <w:div w:id="156314548">
      <w:bodyDiv w:val="1"/>
      <w:marLeft w:val="0"/>
      <w:marRight w:val="0"/>
      <w:marTop w:val="0"/>
      <w:marBottom w:val="0"/>
      <w:divBdr>
        <w:top w:val="none" w:sz="0" w:space="0" w:color="auto"/>
        <w:left w:val="none" w:sz="0" w:space="0" w:color="auto"/>
        <w:bottom w:val="none" w:sz="0" w:space="0" w:color="auto"/>
        <w:right w:val="none" w:sz="0" w:space="0" w:color="auto"/>
      </w:divBdr>
    </w:div>
    <w:div w:id="171409101">
      <w:bodyDiv w:val="1"/>
      <w:marLeft w:val="0"/>
      <w:marRight w:val="0"/>
      <w:marTop w:val="0"/>
      <w:marBottom w:val="0"/>
      <w:divBdr>
        <w:top w:val="none" w:sz="0" w:space="0" w:color="auto"/>
        <w:left w:val="none" w:sz="0" w:space="0" w:color="auto"/>
        <w:bottom w:val="none" w:sz="0" w:space="0" w:color="auto"/>
        <w:right w:val="none" w:sz="0" w:space="0" w:color="auto"/>
      </w:divBdr>
    </w:div>
    <w:div w:id="329993335">
      <w:bodyDiv w:val="1"/>
      <w:marLeft w:val="0"/>
      <w:marRight w:val="0"/>
      <w:marTop w:val="0"/>
      <w:marBottom w:val="0"/>
      <w:divBdr>
        <w:top w:val="none" w:sz="0" w:space="0" w:color="auto"/>
        <w:left w:val="none" w:sz="0" w:space="0" w:color="auto"/>
        <w:bottom w:val="none" w:sz="0" w:space="0" w:color="auto"/>
        <w:right w:val="none" w:sz="0" w:space="0" w:color="auto"/>
      </w:divBdr>
    </w:div>
    <w:div w:id="349307239">
      <w:bodyDiv w:val="1"/>
      <w:marLeft w:val="0"/>
      <w:marRight w:val="0"/>
      <w:marTop w:val="0"/>
      <w:marBottom w:val="0"/>
      <w:divBdr>
        <w:top w:val="none" w:sz="0" w:space="0" w:color="auto"/>
        <w:left w:val="none" w:sz="0" w:space="0" w:color="auto"/>
        <w:bottom w:val="none" w:sz="0" w:space="0" w:color="auto"/>
        <w:right w:val="none" w:sz="0" w:space="0" w:color="auto"/>
      </w:divBdr>
    </w:div>
    <w:div w:id="416639142">
      <w:bodyDiv w:val="1"/>
      <w:marLeft w:val="0"/>
      <w:marRight w:val="0"/>
      <w:marTop w:val="0"/>
      <w:marBottom w:val="0"/>
      <w:divBdr>
        <w:top w:val="none" w:sz="0" w:space="0" w:color="auto"/>
        <w:left w:val="none" w:sz="0" w:space="0" w:color="auto"/>
        <w:bottom w:val="none" w:sz="0" w:space="0" w:color="auto"/>
        <w:right w:val="none" w:sz="0" w:space="0" w:color="auto"/>
      </w:divBdr>
    </w:div>
    <w:div w:id="458652532">
      <w:bodyDiv w:val="1"/>
      <w:marLeft w:val="0"/>
      <w:marRight w:val="0"/>
      <w:marTop w:val="0"/>
      <w:marBottom w:val="0"/>
      <w:divBdr>
        <w:top w:val="none" w:sz="0" w:space="0" w:color="auto"/>
        <w:left w:val="none" w:sz="0" w:space="0" w:color="auto"/>
        <w:bottom w:val="none" w:sz="0" w:space="0" w:color="auto"/>
        <w:right w:val="none" w:sz="0" w:space="0" w:color="auto"/>
      </w:divBdr>
    </w:div>
    <w:div w:id="459302777">
      <w:bodyDiv w:val="1"/>
      <w:marLeft w:val="0"/>
      <w:marRight w:val="0"/>
      <w:marTop w:val="0"/>
      <w:marBottom w:val="0"/>
      <w:divBdr>
        <w:top w:val="none" w:sz="0" w:space="0" w:color="auto"/>
        <w:left w:val="none" w:sz="0" w:space="0" w:color="auto"/>
        <w:bottom w:val="none" w:sz="0" w:space="0" w:color="auto"/>
        <w:right w:val="none" w:sz="0" w:space="0" w:color="auto"/>
      </w:divBdr>
    </w:div>
    <w:div w:id="459306921">
      <w:bodyDiv w:val="1"/>
      <w:marLeft w:val="0"/>
      <w:marRight w:val="0"/>
      <w:marTop w:val="0"/>
      <w:marBottom w:val="0"/>
      <w:divBdr>
        <w:top w:val="none" w:sz="0" w:space="0" w:color="auto"/>
        <w:left w:val="none" w:sz="0" w:space="0" w:color="auto"/>
        <w:bottom w:val="none" w:sz="0" w:space="0" w:color="auto"/>
        <w:right w:val="none" w:sz="0" w:space="0" w:color="auto"/>
      </w:divBdr>
    </w:div>
    <w:div w:id="470370885">
      <w:bodyDiv w:val="1"/>
      <w:marLeft w:val="0"/>
      <w:marRight w:val="0"/>
      <w:marTop w:val="0"/>
      <w:marBottom w:val="0"/>
      <w:divBdr>
        <w:top w:val="none" w:sz="0" w:space="0" w:color="auto"/>
        <w:left w:val="none" w:sz="0" w:space="0" w:color="auto"/>
        <w:bottom w:val="none" w:sz="0" w:space="0" w:color="auto"/>
        <w:right w:val="none" w:sz="0" w:space="0" w:color="auto"/>
      </w:divBdr>
    </w:div>
    <w:div w:id="483425524">
      <w:bodyDiv w:val="1"/>
      <w:marLeft w:val="0"/>
      <w:marRight w:val="0"/>
      <w:marTop w:val="0"/>
      <w:marBottom w:val="0"/>
      <w:divBdr>
        <w:top w:val="none" w:sz="0" w:space="0" w:color="auto"/>
        <w:left w:val="none" w:sz="0" w:space="0" w:color="auto"/>
        <w:bottom w:val="none" w:sz="0" w:space="0" w:color="auto"/>
        <w:right w:val="none" w:sz="0" w:space="0" w:color="auto"/>
      </w:divBdr>
    </w:div>
    <w:div w:id="501700763">
      <w:bodyDiv w:val="1"/>
      <w:marLeft w:val="0"/>
      <w:marRight w:val="0"/>
      <w:marTop w:val="0"/>
      <w:marBottom w:val="0"/>
      <w:divBdr>
        <w:top w:val="none" w:sz="0" w:space="0" w:color="auto"/>
        <w:left w:val="none" w:sz="0" w:space="0" w:color="auto"/>
        <w:bottom w:val="none" w:sz="0" w:space="0" w:color="auto"/>
        <w:right w:val="none" w:sz="0" w:space="0" w:color="auto"/>
      </w:divBdr>
    </w:div>
    <w:div w:id="529073875">
      <w:bodyDiv w:val="1"/>
      <w:marLeft w:val="0"/>
      <w:marRight w:val="0"/>
      <w:marTop w:val="0"/>
      <w:marBottom w:val="0"/>
      <w:divBdr>
        <w:top w:val="none" w:sz="0" w:space="0" w:color="auto"/>
        <w:left w:val="none" w:sz="0" w:space="0" w:color="auto"/>
        <w:bottom w:val="none" w:sz="0" w:space="0" w:color="auto"/>
        <w:right w:val="none" w:sz="0" w:space="0" w:color="auto"/>
      </w:divBdr>
    </w:div>
    <w:div w:id="532813991">
      <w:bodyDiv w:val="1"/>
      <w:marLeft w:val="0"/>
      <w:marRight w:val="0"/>
      <w:marTop w:val="0"/>
      <w:marBottom w:val="0"/>
      <w:divBdr>
        <w:top w:val="none" w:sz="0" w:space="0" w:color="auto"/>
        <w:left w:val="none" w:sz="0" w:space="0" w:color="auto"/>
        <w:bottom w:val="none" w:sz="0" w:space="0" w:color="auto"/>
        <w:right w:val="none" w:sz="0" w:space="0" w:color="auto"/>
      </w:divBdr>
    </w:div>
    <w:div w:id="536088296">
      <w:bodyDiv w:val="1"/>
      <w:marLeft w:val="0"/>
      <w:marRight w:val="0"/>
      <w:marTop w:val="0"/>
      <w:marBottom w:val="0"/>
      <w:divBdr>
        <w:top w:val="none" w:sz="0" w:space="0" w:color="auto"/>
        <w:left w:val="none" w:sz="0" w:space="0" w:color="auto"/>
        <w:bottom w:val="none" w:sz="0" w:space="0" w:color="auto"/>
        <w:right w:val="none" w:sz="0" w:space="0" w:color="auto"/>
      </w:divBdr>
    </w:div>
    <w:div w:id="573591233">
      <w:bodyDiv w:val="1"/>
      <w:marLeft w:val="0"/>
      <w:marRight w:val="0"/>
      <w:marTop w:val="0"/>
      <w:marBottom w:val="0"/>
      <w:divBdr>
        <w:top w:val="none" w:sz="0" w:space="0" w:color="auto"/>
        <w:left w:val="none" w:sz="0" w:space="0" w:color="auto"/>
        <w:bottom w:val="none" w:sz="0" w:space="0" w:color="auto"/>
        <w:right w:val="none" w:sz="0" w:space="0" w:color="auto"/>
      </w:divBdr>
    </w:div>
    <w:div w:id="580212512">
      <w:bodyDiv w:val="1"/>
      <w:marLeft w:val="0"/>
      <w:marRight w:val="0"/>
      <w:marTop w:val="0"/>
      <w:marBottom w:val="0"/>
      <w:divBdr>
        <w:top w:val="none" w:sz="0" w:space="0" w:color="auto"/>
        <w:left w:val="none" w:sz="0" w:space="0" w:color="auto"/>
        <w:bottom w:val="none" w:sz="0" w:space="0" w:color="auto"/>
        <w:right w:val="none" w:sz="0" w:space="0" w:color="auto"/>
      </w:divBdr>
    </w:div>
    <w:div w:id="583337465">
      <w:bodyDiv w:val="1"/>
      <w:marLeft w:val="0"/>
      <w:marRight w:val="0"/>
      <w:marTop w:val="0"/>
      <w:marBottom w:val="0"/>
      <w:divBdr>
        <w:top w:val="none" w:sz="0" w:space="0" w:color="auto"/>
        <w:left w:val="none" w:sz="0" w:space="0" w:color="auto"/>
        <w:bottom w:val="none" w:sz="0" w:space="0" w:color="auto"/>
        <w:right w:val="none" w:sz="0" w:space="0" w:color="auto"/>
      </w:divBdr>
    </w:div>
    <w:div w:id="600720110">
      <w:bodyDiv w:val="1"/>
      <w:marLeft w:val="0"/>
      <w:marRight w:val="0"/>
      <w:marTop w:val="0"/>
      <w:marBottom w:val="0"/>
      <w:divBdr>
        <w:top w:val="none" w:sz="0" w:space="0" w:color="auto"/>
        <w:left w:val="none" w:sz="0" w:space="0" w:color="auto"/>
        <w:bottom w:val="none" w:sz="0" w:space="0" w:color="auto"/>
        <w:right w:val="none" w:sz="0" w:space="0" w:color="auto"/>
      </w:divBdr>
    </w:div>
    <w:div w:id="611742509">
      <w:bodyDiv w:val="1"/>
      <w:marLeft w:val="0"/>
      <w:marRight w:val="0"/>
      <w:marTop w:val="0"/>
      <w:marBottom w:val="0"/>
      <w:divBdr>
        <w:top w:val="none" w:sz="0" w:space="0" w:color="auto"/>
        <w:left w:val="none" w:sz="0" w:space="0" w:color="auto"/>
        <w:bottom w:val="none" w:sz="0" w:space="0" w:color="auto"/>
        <w:right w:val="none" w:sz="0" w:space="0" w:color="auto"/>
      </w:divBdr>
    </w:div>
    <w:div w:id="697976361">
      <w:bodyDiv w:val="1"/>
      <w:marLeft w:val="0"/>
      <w:marRight w:val="0"/>
      <w:marTop w:val="0"/>
      <w:marBottom w:val="0"/>
      <w:divBdr>
        <w:top w:val="none" w:sz="0" w:space="0" w:color="auto"/>
        <w:left w:val="none" w:sz="0" w:space="0" w:color="auto"/>
        <w:bottom w:val="none" w:sz="0" w:space="0" w:color="auto"/>
        <w:right w:val="none" w:sz="0" w:space="0" w:color="auto"/>
      </w:divBdr>
    </w:div>
    <w:div w:id="755053630">
      <w:bodyDiv w:val="1"/>
      <w:marLeft w:val="0"/>
      <w:marRight w:val="0"/>
      <w:marTop w:val="0"/>
      <w:marBottom w:val="0"/>
      <w:divBdr>
        <w:top w:val="none" w:sz="0" w:space="0" w:color="auto"/>
        <w:left w:val="none" w:sz="0" w:space="0" w:color="auto"/>
        <w:bottom w:val="none" w:sz="0" w:space="0" w:color="auto"/>
        <w:right w:val="none" w:sz="0" w:space="0" w:color="auto"/>
      </w:divBdr>
    </w:div>
    <w:div w:id="757941083">
      <w:bodyDiv w:val="1"/>
      <w:marLeft w:val="0"/>
      <w:marRight w:val="0"/>
      <w:marTop w:val="0"/>
      <w:marBottom w:val="0"/>
      <w:divBdr>
        <w:top w:val="none" w:sz="0" w:space="0" w:color="auto"/>
        <w:left w:val="none" w:sz="0" w:space="0" w:color="auto"/>
        <w:bottom w:val="none" w:sz="0" w:space="0" w:color="auto"/>
        <w:right w:val="none" w:sz="0" w:space="0" w:color="auto"/>
      </w:divBdr>
    </w:div>
    <w:div w:id="794367698">
      <w:bodyDiv w:val="1"/>
      <w:marLeft w:val="0"/>
      <w:marRight w:val="0"/>
      <w:marTop w:val="0"/>
      <w:marBottom w:val="0"/>
      <w:divBdr>
        <w:top w:val="none" w:sz="0" w:space="0" w:color="auto"/>
        <w:left w:val="none" w:sz="0" w:space="0" w:color="auto"/>
        <w:bottom w:val="none" w:sz="0" w:space="0" w:color="auto"/>
        <w:right w:val="none" w:sz="0" w:space="0" w:color="auto"/>
      </w:divBdr>
    </w:div>
    <w:div w:id="806357623">
      <w:bodyDiv w:val="1"/>
      <w:marLeft w:val="0"/>
      <w:marRight w:val="0"/>
      <w:marTop w:val="0"/>
      <w:marBottom w:val="0"/>
      <w:divBdr>
        <w:top w:val="none" w:sz="0" w:space="0" w:color="auto"/>
        <w:left w:val="none" w:sz="0" w:space="0" w:color="auto"/>
        <w:bottom w:val="none" w:sz="0" w:space="0" w:color="auto"/>
        <w:right w:val="none" w:sz="0" w:space="0" w:color="auto"/>
      </w:divBdr>
    </w:div>
    <w:div w:id="810487906">
      <w:bodyDiv w:val="1"/>
      <w:marLeft w:val="0"/>
      <w:marRight w:val="0"/>
      <w:marTop w:val="0"/>
      <w:marBottom w:val="0"/>
      <w:divBdr>
        <w:top w:val="none" w:sz="0" w:space="0" w:color="auto"/>
        <w:left w:val="none" w:sz="0" w:space="0" w:color="auto"/>
        <w:bottom w:val="none" w:sz="0" w:space="0" w:color="auto"/>
        <w:right w:val="none" w:sz="0" w:space="0" w:color="auto"/>
      </w:divBdr>
    </w:div>
    <w:div w:id="835850832">
      <w:bodyDiv w:val="1"/>
      <w:marLeft w:val="0"/>
      <w:marRight w:val="0"/>
      <w:marTop w:val="0"/>
      <w:marBottom w:val="0"/>
      <w:divBdr>
        <w:top w:val="none" w:sz="0" w:space="0" w:color="auto"/>
        <w:left w:val="none" w:sz="0" w:space="0" w:color="auto"/>
        <w:bottom w:val="none" w:sz="0" w:space="0" w:color="auto"/>
        <w:right w:val="none" w:sz="0" w:space="0" w:color="auto"/>
      </w:divBdr>
    </w:div>
    <w:div w:id="844713528">
      <w:bodyDiv w:val="1"/>
      <w:marLeft w:val="0"/>
      <w:marRight w:val="0"/>
      <w:marTop w:val="0"/>
      <w:marBottom w:val="0"/>
      <w:divBdr>
        <w:top w:val="none" w:sz="0" w:space="0" w:color="auto"/>
        <w:left w:val="none" w:sz="0" w:space="0" w:color="auto"/>
        <w:bottom w:val="none" w:sz="0" w:space="0" w:color="auto"/>
        <w:right w:val="none" w:sz="0" w:space="0" w:color="auto"/>
      </w:divBdr>
    </w:div>
    <w:div w:id="863441086">
      <w:bodyDiv w:val="1"/>
      <w:marLeft w:val="0"/>
      <w:marRight w:val="0"/>
      <w:marTop w:val="0"/>
      <w:marBottom w:val="0"/>
      <w:divBdr>
        <w:top w:val="none" w:sz="0" w:space="0" w:color="auto"/>
        <w:left w:val="none" w:sz="0" w:space="0" w:color="auto"/>
        <w:bottom w:val="none" w:sz="0" w:space="0" w:color="auto"/>
        <w:right w:val="none" w:sz="0" w:space="0" w:color="auto"/>
      </w:divBdr>
    </w:div>
    <w:div w:id="883371182">
      <w:bodyDiv w:val="1"/>
      <w:marLeft w:val="0"/>
      <w:marRight w:val="0"/>
      <w:marTop w:val="0"/>
      <w:marBottom w:val="0"/>
      <w:divBdr>
        <w:top w:val="none" w:sz="0" w:space="0" w:color="auto"/>
        <w:left w:val="none" w:sz="0" w:space="0" w:color="auto"/>
        <w:bottom w:val="none" w:sz="0" w:space="0" w:color="auto"/>
        <w:right w:val="none" w:sz="0" w:space="0" w:color="auto"/>
      </w:divBdr>
    </w:div>
    <w:div w:id="900477637">
      <w:bodyDiv w:val="1"/>
      <w:marLeft w:val="0"/>
      <w:marRight w:val="0"/>
      <w:marTop w:val="0"/>
      <w:marBottom w:val="0"/>
      <w:divBdr>
        <w:top w:val="none" w:sz="0" w:space="0" w:color="auto"/>
        <w:left w:val="none" w:sz="0" w:space="0" w:color="auto"/>
        <w:bottom w:val="none" w:sz="0" w:space="0" w:color="auto"/>
        <w:right w:val="none" w:sz="0" w:space="0" w:color="auto"/>
      </w:divBdr>
    </w:div>
    <w:div w:id="946546500">
      <w:bodyDiv w:val="1"/>
      <w:marLeft w:val="0"/>
      <w:marRight w:val="0"/>
      <w:marTop w:val="0"/>
      <w:marBottom w:val="0"/>
      <w:divBdr>
        <w:top w:val="none" w:sz="0" w:space="0" w:color="auto"/>
        <w:left w:val="none" w:sz="0" w:space="0" w:color="auto"/>
        <w:bottom w:val="none" w:sz="0" w:space="0" w:color="auto"/>
        <w:right w:val="none" w:sz="0" w:space="0" w:color="auto"/>
      </w:divBdr>
    </w:div>
    <w:div w:id="1050812513">
      <w:bodyDiv w:val="1"/>
      <w:marLeft w:val="0"/>
      <w:marRight w:val="0"/>
      <w:marTop w:val="0"/>
      <w:marBottom w:val="0"/>
      <w:divBdr>
        <w:top w:val="none" w:sz="0" w:space="0" w:color="auto"/>
        <w:left w:val="none" w:sz="0" w:space="0" w:color="auto"/>
        <w:bottom w:val="none" w:sz="0" w:space="0" w:color="auto"/>
        <w:right w:val="none" w:sz="0" w:space="0" w:color="auto"/>
      </w:divBdr>
    </w:div>
    <w:div w:id="1108500269">
      <w:bodyDiv w:val="1"/>
      <w:marLeft w:val="0"/>
      <w:marRight w:val="0"/>
      <w:marTop w:val="0"/>
      <w:marBottom w:val="0"/>
      <w:divBdr>
        <w:top w:val="none" w:sz="0" w:space="0" w:color="auto"/>
        <w:left w:val="none" w:sz="0" w:space="0" w:color="auto"/>
        <w:bottom w:val="none" w:sz="0" w:space="0" w:color="auto"/>
        <w:right w:val="none" w:sz="0" w:space="0" w:color="auto"/>
      </w:divBdr>
    </w:div>
    <w:div w:id="1134447692">
      <w:bodyDiv w:val="1"/>
      <w:marLeft w:val="0"/>
      <w:marRight w:val="0"/>
      <w:marTop w:val="0"/>
      <w:marBottom w:val="0"/>
      <w:divBdr>
        <w:top w:val="none" w:sz="0" w:space="0" w:color="auto"/>
        <w:left w:val="none" w:sz="0" w:space="0" w:color="auto"/>
        <w:bottom w:val="none" w:sz="0" w:space="0" w:color="auto"/>
        <w:right w:val="none" w:sz="0" w:space="0" w:color="auto"/>
      </w:divBdr>
    </w:div>
    <w:div w:id="1141728937">
      <w:bodyDiv w:val="1"/>
      <w:marLeft w:val="0"/>
      <w:marRight w:val="0"/>
      <w:marTop w:val="0"/>
      <w:marBottom w:val="0"/>
      <w:divBdr>
        <w:top w:val="none" w:sz="0" w:space="0" w:color="auto"/>
        <w:left w:val="none" w:sz="0" w:space="0" w:color="auto"/>
        <w:bottom w:val="none" w:sz="0" w:space="0" w:color="auto"/>
        <w:right w:val="none" w:sz="0" w:space="0" w:color="auto"/>
      </w:divBdr>
    </w:div>
    <w:div w:id="1236091434">
      <w:bodyDiv w:val="1"/>
      <w:marLeft w:val="0"/>
      <w:marRight w:val="0"/>
      <w:marTop w:val="0"/>
      <w:marBottom w:val="0"/>
      <w:divBdr>
        <w:top w:val="none" w:sz="0" w:space="0" w:color="auto"/>
        <w:left w:val="none" w:sz="0" w:space="0" w:color="auto"/>
        <w:bottom w:val="none" w:sz="0" w:space="0" w:color="auto"/>
        <w:right w:val="none" w:sz="0" w:space="0" w:color="auto"/>
      </w:divBdr>
    </w:div>
    <w:div w:id="1251890447">
      <w:bodyDiv w:val="1"/>
      <w:marLeft w:val="0"/>
      <w:marRight w:val="0"/>
      <w:marTop w:val="0"/>
      <w:marBottom w:val="0"/>
      <w:divBdr>
        <w:top w:val="none" w:sz="0" w:space="0" w:color="auto"/>
        <w:left w:val="none" w:sz="0" w:space="0" w:color="auto"/>
        <w:bottom w:val="none" w:sz="0" w:space="0" w:color="auto"/>
        <w:right w:val="none" w:sz="0" w:space="0" w:color="auto"/>
      </w:divBdr>
    </w:div>
    <w:div w:id="1323851346">
      <w:bodyDiv w:val="1"/>
      <w:marLeft w:val="0"/>
      <w:marRight w:val="0"/>
      <w:marTop w:val="0"/>
      <w:marBottom w:val="0"/>
      <w:divBdr>
        <w:top w:val="none" w:sz="0" w:space="0" w:color="auto"/>
        <w:left w:val="none" w:sz="0" w:space="0" w:color="auto"/>
        <w:bottom w:val="none" w:sz="0" w:space="0" w:color="auto"/>
        <w:right w:val="none" w:sz="0" w:space="0" w:color="auto"/>
      </w:divBdr>
    </w:div>
    <w:div w:id="1333219426">
      <w:bodyDiv w:val="1"/>
      <w:marLeft w:val="0"/>
      <w:marRight w:val="0"/>
      <w:marTop w:val="0"/>
      <w:marBottom w:val="0"/>
      <w:divBdr>
        <w:top w:val="none" w:sz="0" w:space="0" w:color="auto"/>
        <w:left w:val="none" w:sz="0" w:space="0" w:color="auto"/>
        <w:bottom w:val="none" w:sz="0" w:space="0" w:color="auto"/>
        <w:right w:val="none" w:sz="0" w:space="0" w:color="auto"/>
      </w:divBdr>
    </w:div>
    <w:div w:id="1364597189">
      <w:bodyDiv w:val="1"/>
      <w:marLeft w:val="0"/>
      <w:marRight w:val="0"/>
      <w:marTop w:val="0"/>
      <w:marBottom w:val="0"/>
      <w:divBdr>
        <w:top w:val="none" w:sz="0" w:space="0" w:color="auto"/>
        <w:left w:val="none" w:sz="0" w:space="0" w:color="auto"/>
        <w:bottom w:val="none" w:sz="0" w:space="0" w:color="auto"/>
        <w:right w:val="none" w:sz="0" w:space="0" w:color="auto"/>
      </w:divBdr>
    </w:div>
    <w:div w:id="1377464037">
      <w:bodyDiv w:val="1"/>
      <w:marLeft w:val="0"/>
      <w:marRight w:val="0"/>
      <w:marTop w:val="0"/>
      <w:marBottom w:val="0"/>
      <w:divBdr>
        <w:top w:val="none" w:sz="0" w:space="0" w:color="auto"/>
        <w:left w:val="none" w:sz="0" w:space="0" w:color="auto"/>
        <w:bottom w:val="none" w:sz="0" w:space="0" w:color="auto"/>
        <w:right w:val="none" w:sz="0" w:space="0" w:color="auto"/>
      </w:divBdr>
    </w:div>
    <w:div w:id="1378353895">
      <w:bodyDiv w:val="1"/>
      <w:marLeft w:val="0"/>
      <w:marRight w:val="0"/>
      <w:marTop w:val="0"/>
      <w:marBottom w:val="0"/>
      <w:divBdr>
        <w:top w:val="none" w:sz="0" w:space="0" w:color="auto"/>
        <w:left w:val="none" w:sz="0" w:space="0" w:color="auto"/>
        <w:bottom w:val="none" w:sz="0" w:space="0" w:color="auto"/>
        <w:right w:val="none" w:sz="0" w:space="0" w:color="auto"/>
      </w:divBdr>
    </w:div>
    <w:div w:id="1411851615">
      <w:bodyDiv w:val="1"/>
      <w:marLeft w:val="0"/>
      <w:marRight w:val="0"/>
      <w:marTop w:val="0"/>
      <w:marBottom w:val="0"/>
      <w:divBdr>
        <w:top w:val="none" w:sz="0" w:space="0" w:color="auto"/>
        <w:left w:val="none" w:sz="0" w:space="0" w:color="auto"/>
        <w:bottom w:val="none" w:sz="0" w:space="0" w:color="auto"/>
        <w:right w:val="none" w:sz="0" w:space="0" w:color="auto"/>
      </w:divBdr>
    </w:div>
    <w:div w:id="1433361273">
      <w:bodyDiv w:val="1"/>
      <w:marLeft w:val="0"/>
      <w:marRight w:val="0"/>
      <w:marTop w:val="0"/>
      <w:marBottom w:val="0"/>
      <w:divBdr>
        <w:top w:val="none" w:sz="0" w:space="0" w:color="auto"/>
        <w:left w:val="none" w:sz="0" w:space="0" w:color="auto"/>
        <w:bottom w:val="none" w:sz="0" w:space="0" w:color="auto"/>
        <w:right w:val="none" w:sz="0" w:space="0" w:color="auto"/>
      </w:divBdr>
    </w:div>
    <w:div w:id="1434395256">
      <w:bodyDiv w:val="1"/>
      <w:marLeft w:val="0"/>
      <w:marRight w:val="0"/>
      <w:marTop w:val="0"/>
      <w:marBottom w:val="0"/>
      <w:divBdr>
        <w:top w:val="none" w:sz="0" w:space="0" w:color="auto"/>
        <w:left w:val="none" w:sz="0" w:space="0" w:color="auto"/>
        <w:bottom w:val="none" w:sz="0" w:space="0" w:color="auto"/>
        <w:right w:val="none" w:sz="0" w:space="0" w:color="auto"/>
      </w:divBdr>
    </w:div>
    <w:div w:id="1435322177">
      <w:bodyDiv w:val="1"/>
      <w:marLeft w:val="0"/>
      <w:marRight w:val="0"/>
      <w:marTop w:val="0"/>
      <w:marBottom w:val="0"/>
      <w:divBdr>
        <w:top w:val="none" w:sz="0" w:space="0" w:color="auto"/>
        <w:left w:val="none" w:sz="0" w:space="0" w:color="auto"/>
        <w:bottom w:val="none" w:sz="0" w:space="0" w:color="auto"/>
        <w:right w:val="none" w:sz="0" w:space="0" w:color="auto"/>
      </w:divBdr>
    </w:div>
    <w:div w:id="1503886376">
      <w:bodyDiv w:val="1"/>
      <w:marLeft w:val="0"/>
      <w:marRight w:val="0"/>
      <w:marTop w:val="0"/>
      <w:marBottom w:val="0"/>
      <w:divBdr>
        <w:top w:val="none" w:sz="0" w:space="0" w:color="auto"/>
        <w:left w:val="none" w:sz="0" w:space="0" w:color="auto"/>
        <w:bottom w:val="none" w:sz="0" w:space="0" w:color="auto"/>
        <w:right w:val="none" w:sz="0" w:space="0" w:color="auto"/>
      </w:divBdr>
    </w:div>
    <w:div w:id="1556041563">
      <w:bodyDiv w:val="1"/>
      <w:marLeft w:val="0"/>
      <w:marRight w:val="0"/>
      <w:marTop w:val="0"/>
      <w:marBottom w:val="0"/>
      <w:divBdr>
        <w:top w:val="none" w:sz="0" w:space="0" w:color="auto"/>
        <w:left w:val="none" w:sz="0" w:space="0" w:color="auto"/>
        <w:bottom w:val="none" w:sz="0" w:space="0" w:color="auto"/>
        <w:right w:val="none" w:sz="0" w:space="0" w:color="auto"/>
      </w:divBdr>
    </w:div>
    <w:div w:id="1567764025">
      <w:bodyDiv w:val="1"/>
      <w:marLeft w:val="0"/>
      <w:marRight w:val="0"/>
      <w:marTop w:val="0"/>
      <w:marBottom w:val="0"/>
      <w:divBdr>
        <w:top w:val="none" w:sz="0" w:space="0" w:color="auto"/>
        <w:left w:val="none" w:sz="0" w:space="0" w:color="auto"/>
        <w:bottom w:val="none" w:sz="0" w:space="0" w:color="auto"/>
        <w:right w:val="none" w:sz="0" w:space="0" w:color="auto"/>
      </w:divBdr>
    </w:div>
    <w:div w:id="1590431176">
      <w:bodyDiv w:val="1"/>
      <w:marLeft w:val="0"/>
      <w:marRight w:val="0"/>
      <w:marTop w:val="0"/>
      <w:marBottom w:val="0"/>
      <w:divBdr>
        <w:top w:val="none" w:sz="0" w:space="0" w:color="auto"/>
        <w:left w:val="none" w:sz="0" w:space="0" w:color="auto"/>
        <w:bottom w:val="none" w:sz="0" w:space="0" w:color="auto"/>
        <w:right w:val="none" w:sz="0" w:space="0" w:color="auto"/>
      </w:divBdr>
    </w:div>
    <w:div w:id="1678533574">
      <w:bodyDiv w:val="1"/>
      <w:marLeft w:val="0"/>
      <w:marRight w:val="0"/>
      <w:marTop w:val="0"/>
      <w:marBottom w:val="0"/>
      <w:divBdr>
        <w:top w:val="none" w:sz="0" w:space="0" w:color="auto"/>
        <w:left w:val="none" w:sz="0" w:space="0" w:color="auto"/>
        <w:bottom w:val="none" w:sz="0" w:space="0" w:color="auto"/>
        <w:right w:val="none" w:sz="0" w:space="0" w:color="auto"/>
      </w:divBdr>
    </w:div>
    <w:div w:id="1728020133">
      <w:bodyDiv w:val="1"/>
      <w:marLeft w:val="0"/>
      <w:marRight w:val="0"/>
      <w:marTop w:val="0"/>
      <w:marBottom w:val="0"/>
      <w:divBdr>
        <w:top w:val="none" w:sz="0" w:space="0" w:color="auto"/>
        <w:left w:val="none" w:sz="0" w:space="0" w:color="auto"/>
        <w:bottom w:val="none" w:sz="0" w:space="0" w:color="auto"/>
        <w:right w:val="none" w:sz="0" w:space="0" w:color="auto"/>
      </w:divBdr>
    </w:div>
    <w:div w:id="1728601937">
      <w:bodyDiv w:val="1"/>
      <w:marLeft w:val="0"/>
      <w:marRight w:val="0"/>
      <w:marTop w:val="0"/>
      <w:marBottom w:val="0"/>
      <w:divBdr>
        <w:top w:val="none" w:sz="0" w:space="0" w:color="auto"/>
        <w:left w:val="none" w:sz="0" w:space="0" w:color="auto"/>
        <w:bottom w:val="none" w:sz="0" w:space="0" w:color="auto"/>
        <w:right w:val="none" w:sz="0" w:space="0" w:color="auto"/>
      </w:divBdr>
    </w:div>
    <w:div w:id="1782918233">
      <w:bodyDiv w:val="1"/>
      <w:marLeft w:val="0"/>
      <w:marRight w:val="0"/>
      <w:marTop w:val="0"/>
      <w:marBottom w:val="0"/>
      <w:divBdr>
        <w:top w:val="none" w:sz="0" w:space="0" w:color="auto"/>
        <w:left w:val="none" w:sz="0" w:space="0" w:color="auto"/>
        <w:bottom w:val="none" w:sz="0" w:space="0" w:color="auto"/>
        <w:right w:val="none" w:sz="0" w:space="0" w:color="auto"/>
      </w:divBdr>
    </w:div>
    <w:div w:id="1786346846">
      <w:bodyDiv w:val="1"/>
      <w:marLeft w:val="0"/>
      <w:marRight w:val="0"/>
      <w:marTop w:val="0"/>
      <w:marBottom w:val="0"/>
      <w:divBdr>
        <w:top w:val="none" w:sz="0" w:space="0" w:color="auto"/>
        <w:left w:val="none" w:sz="0" w:space="0" w:color="auto"/>
        <w:bottom w:val="none" w:sz="0" w:space="0" w:color="auto"/>
        <w:right w:val="none" w:sz="0" w:space="0" w:color="auto"/>
      </w:divBdr>
    </w:div>
    <w:div w:id="1837962066">
      <w:bodyDiv w:val="1"/>
      <w:marLeft w:val="0"/>
      <w:marRight w:val="0"/>
      <w:marTop w:val="0"/>
      <w:marBottom w:val="0"/>
      <w:divBdr>
        <w:top w:val="none" w:sz="0" w:space="0" w:color="auto"/>
        <w:left w:val="none" w:sz="0" w:space="0" w:color="auto"/>
        <w:bottom w:val="none" w:sz="0" w:space="0" w:color="auto"/>
        <w:right w:val="none" w:sz="0" w:space="0" w:color="auto"/>
      </w:divBdr>
    </w:div>
    <w:div w:id="1841038268">
      <w:bodyDiv w:val="1"/>
      <w:marLeft w:val="0"/>
      <w:marRight w:val="0"/>
      <w:marTop w:val="0"/>
      <w:marBottom w:val="0"/>
      <w:divBdr>
        <w:top w:val="none" w:sz="0" w:space="0" w:color="auto"/>
        <w:left w:val="none" w:sz="0" w:space="0" w:color="auto"/>
        <w:bottom w:val="none" w:sz="0" w:space="0" w:color="auto"/>
        <w:right w:val="none" w:sz="0" w:space="0" w:color="auto"/>
      </w:divBdr>
    </w:div>
    <w:div w:id="1906524587">
      <w:bodyDiv w:val="1"/>
      <w:marLeft w:val="0"/>
      <w:marRight w:val="0"/>
      <w:marTop w:val="0"/>
      <w:marBottom w:val="0"/>
      <w:divBdr>
        <w:top w:val="none" w:sz="0" w:space="0" w:color="auto"/>
        <w:left w:val="none" w:sz="0" w:space="0" w:color="auto"/>
        <w:bottom w:val="none" w:sz="0" w:space="0" w:color="auto"/>
        <w:right w:val="none" w:sz="0" w:space="0" w:color="auto"/>
      </w:divBdr>
    </w:div>
    <w:div w:id="1914268877">
      <w:bodyDiv w:val="1"/>
      <w:marLeft w:val="0"/>
      <w:marRight w:val="0"/>
      <w:marTop w:val="0"/>
      <w:marBottom w:val="0"/>
      <w:divBdr>
        <w:top w:val="none" w:sz="0" w:space="0" w:color="auto"/>
        <w:left w:val="none" w:sz="0" w:space="0" w:color="auto"/>
        <w:bottom w:val="none" w:sz="0" w:space="0" w:color="auto"/>
        <w:right w:val="none" w:sz="0" w:space="0" w:color="auto"/>
      </w:divBdr>
    </w:div>
    <w:div w:id="1992902362">
      <w:bodyDiv w:val="1"/>
      <w:marLeft w:val="0"/>
      <w:marRight w:val="0"/>
      <w:marTop w:val="0"/>
      <w:marBottom w:val="0"/>
      <w:divBdr>
        <w:top w:val="none" w:sz="0" w:space="0" w:color="auto"/>
        <w:left w:val="none" w:sz="0" w:space="0" w:color="auto"/>
        <w:bottom w:val="none" w:sz="0" w:space="0" w:color="auto"/>
        <w:right w:val="none" w:sz="0" w:space="0" w:color="auto"/>
      </w:divBdr>
    </w:div>
    <w:div w:id="2016762184">
      <w:bodyDiv w:val="1"/>
      <w:marLeft w:val="0"/>
      <w:marRight w:val="0"/>
      <w:marTop w:val="0"/>
      <w:marBottom w:val="0"/>
      <w:divBdr>
        <w:top w:val="none" w:sz="0" w:space="0" w:color="auto"/>
        <w:left w:val="none" w:sz="0" w:space="0" w:color="auto"/>
        <w:bottom w:val="none" w:sz="0" w:space="0" w:color="auto"/>
        <w:right w:val="none" w:sz="0" w:space="0" w:color="auto"/>
      </w:divBdr>
    </w:div>
    <w:div w:id="2034261734">
      <w:bodyDiv w:val="1"/>
      <w:marLeft w:val="0"/>
      <w:marRight w:val="0"/>
      <w:marTop w:val="0"/>
      <w:marBottom w:val="0"/>
      <w:divBdr>
        <w:top w:val="none" w:sz="0" w:space="0" w:color="auto"/>
        <w:left w:val="none" w:sz="0" w:space="0" w:color="auto"/>
        <w:bottom w:val="none" w:sz="0" w:space="0" w:color="auto"/>
        <w:right w:val="none" w:sz="0" w:space="0" w:color="auto"/>
      </w:divBdr>
    </w:div>
    <w:div w:id="2062055861">
      <w:bodyDiv w:val="1"/>
      <w:marLeft w:val="0"/>
      <w:marRight w:val="0"/>
      <w:marTop w:val="0"/>
      <w:marBottom w:val="0"/>
      <w:divBdr>
        <w:top w:val="none" w:sz="0" w:space="0" w:color="auto"/>
        <w:left w:val="none" w:sz="0" w:space="0" w:color="auto"/>
        <w:bottom w:val="none" w:sz="0" w:space="0" w:color="auto"/>
        <w:right w:val="none" w:sz="0" w:space="0" w:color="auto"/>
      </w:divBdr>
    </w:div>
    <w:div w:id="2076584036">
      <w:bodyDiv w:val="1"/>
      <w:marLeft w:val="0"/>
      <w:marRight w:val="0"/>
      <w:marTop w:val="0"/>
      <w:marBottom w:val="0"/>
      <w:divBdr>
        <w:top w:val="none" w:sz="0" w:space="0" w:color="auto"/>
        <w:left w:val="none" w:sz="0" w:space="0" w:color="auto"/>
        <w:bottom w:val="none" w:sz="0" w:space="0" w:color="auto"/>
        <w:right w:val="none" w:sz="0" w:space="0" w:color="auto"/>
      </w:divBdr>
    </w:div>
    <w:div w:id="2083677739">
      <w:bodyDiv w:val="1"/>
      <w:marLeft w:val="0"/>
      <w:marRight w:val="0"/>
      <w:marTop w:val="0"/>
      <w:marBottom w:val="0"/>
      <w:divBdr>
        <w:top w:val="none" w:sz="0" w:space="0" w:color="auto"/>
        <w:left w:val="none" w:sz="0" w:space="0" w:color="auto"/>
        <w:bottom w:val="none" w:sz="0" w:space="0" w:color="auto"/>
        <w:right w:val="none" w:sz="0" w:space="0" w:color="auto"/>
      </w:divBdr>
    </w:div>
    <w:div w:id="2088568898">
      <w:bodyDiv w:val="1"/>
      <w:marLeft w:val="0"/>
      <w:marRight w:val="0"/>
      <w:marTop w:val="0"/>
      <w:marBottom w:val="0"/>
      <w:divBdr>
        <w:top w:val="none" w:sz="0" w:space="0" w:color="auto"/>
        <w:left w:val="none" w:sz="0" w:space="0" w:color="auto"/>
        <w:bottom w:val="none" w:sz="0" w:space="0" w:color="auto"/>
        <w:right w:val="none" w:sz="0" w:space="0" w:color="auto"/>
      </w:divBdr>
    </w:div>
    <w:div w:id="2115124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7E00E4-422B-4D8A-8AF7-8740CF1FC9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845</TotalTime>
  <Pages>12</Pages>
  <Words>5096</Words>
  <Characters>29048</Characters>
  <Application>Microsoft Office Word</Application>
  <DocSecurity>0</DocSecurity>
  <Lines>242</Lines>
  <Paragraphs>68</Paragraphs>
  <ScaleCrop>false</ScaleCrop>
  <HeadingPairs>
    <vt:vector size="2" baseType="variant">
      <vt:variant>
        <vt:lpstr>Konu Başlığı</vt:lpstr>
      </vt:variant>
      <vt:variant>
        <vt:i4>1</vt:i4>
      </vt:variant>
    </vt:vector>
  </HeadingPairs>
  <TitlesOfParts>
    <vt:vector size="1" baseType="lpstr">
      <vt:lpstr>Nihai Bildirim - Final Disclosure</vt:lpstr>
    </vt:vector>
  </TitlesOfParts>
  <Company>Ekonomi Bakanlığı</Company>
  <LinksUpToDate>false</LinksUpToDate>
  <CharactersWithSpaces>34076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Nihai Bildirim - Final Disclosure</dc:title>
  <dc:subject/>
  <dc:creator>Merve YALÇIN ERDİL</dc:creator>
  <cp:keywords/>
  <dc:description/>
  <cp:lastModifiedBy>Kübra KURTULUŞ</cp:lastModifiedBy>
  <cp:revision>277</cp:revision>
  <cp:lastPrinted>2024-12-06T08:43:00Z</cp:lastPrinted>
  <dcterms:created xsi:type="dcterms:W3CDTF">2023-10-02T10:13:00Z</dcterms:created>
  <dcterms:modified xsi:type="dcterms:W3CDTF">2025-06-23T06:19:00Z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odilabelclass">
    <vt:lpwstr>id_classification_unclassified=0ef0d4bf-59b8-4ae6-bbc0-fafde041157b</vt:lpwstr>
  </property>
  <property fmtid="{D5CDD505-2E9C-101B-9397-08002B2CF9AE}" pid="3" name="geodilabeluser">
    <vt:lpwstr>user=23456064808</vt:lpwstr>
  </property>
  <property fmtid="{D5CDD505-2E9C-101B-9397-08002B2CF9AE}" pid="4" name="geodilabeltime">
    <vt:lpwstr>datetime=2024-03-18T12:29:54.291Z</vt:lpwstr>
  </property>
</Properties>
</file>